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6B2291" w:rsidRPr="004A628E">
        <w:rPr>
          <w:rFonts w:ascii="Calibri" w:hAnsi="Calibri"/>
          <w:b/>
          <w:sz w:val="28"/>
          <w:szCs w:val="28"/>
        </w:rPr>
        <w:t>PRESTWICH</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w:t>
      </w:r>
      <w:r w:rsidR="00EA2E81">
        <w:rPr>
          <w:rFonts w:cs="Times New Roman"/>
          <w:b/>
          <w:sz w:val="28"/>
          <w:szCs w:val="28"/>
        </w:rPr>
        <w:t>PURCHASE</w:t>
      </w:r>
      <w:r w:rsidRPr="004A628E">
        <w:rPr>
          <w:rFonts w:cs="Times New Roman"/>
          <w:b/>
          <w:sz w:val="28"/>
          <w:szCs w:val="28"/>
        </w:rPr>
        <w:t xml:space="preserv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6B2291" w:rsidRPr="004A628E">
        <w:rPr>
          <w:rFonts w:cs="Times New Roman"/>
          <w:b/>
          <w:sz w:val="28"/>
          <w:szCs w:val="28"/>
        </w:rPr>
        <w:t>PRESTWICH</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Prestwich 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 xml:space="preserve">What follows is a requirement from the Solicitors Regulation Authority, on behalf of the overarching Legal Services Board, to provide prospective clients with information about our costs in relation to specific legal services, including for residential property </w:t>
      </w:r>
      <w:r w:rsidR="00CE1904">
        <w:rPr>
          <w:rFonts w:ascii="Calibri" w:hAnsi="Calibri"/>
        </w:rPr>
        <w:t>purchases</w:t>
      </w:r>
      <w:r w:rsidRPr="004A628E">
        <w:rPr>
          <w:rFonts w:ascii="Calibri" w:hAnsi="Calibri"/>
        </w:rPr>
        <w:t xml:space="preserve">.   Residential </w:t>
      </w:r>
      <w:r w:rsidR="00CE1904">
        <w:rPr>
          <w:rFonts w:ascii="Calibri" w:hAnsi="Calibri"/>
        </w:rPr>
        <w:t>sales</w:t>
      </w:r>
      <w:r w:rsidRPr="004A628E">
        <w:rPr>
          <w:rFonts w:ascii="Calibri" w:hAnsi="Calibri"/>
        </w:rPr>
        <w:t xml:space="preserve">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w:t>
      </w:r>
      <w:r w:rsidR="00975603">
        <w:rPr>
          <w:rFonts w:ascii="Calibri" w:hAnsi="Calibri"/>
        </w:rPr>
        <w:t>purchase</w:t>
      </w:r>
      <w:r w:rsidRPr="004A628E">
        <w:rPr>
          <w:rFonts w:ascii="Calibri" w:hAnsi="Calibri"/>
        </w:rPr>
        <w:t xml:space="preserve">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6B2291" w:rsidRPr="004A628E">
        <w:rPr>
          <w:rFonts w:ascii="Calibri" w:hAnsi="Calibri"/>
          <w:b/>
          <w:sz w:val="28"/>
          <w:szCs w:val="28"/>
        </w:rPr>
        <w:t>PRESTWICH</w:t>
      </w:r>
      <w:r w:rsidRPr="004A628E">
        <w:rPr>
          <w:rFonts w:ascii="Calibri" w:hAnsi="Calibri"/>
          <w:b/>
          <w:sz w:val="28"/>
          <w:szCs w:val="28"/>
        </w:rPr>
        <w:t>)</w:t>
      </w:r>
      <w:r w:rsidR="0042757D" w:rsidRPr="004A628E">
        <w:rPr>
          <w:rFonts w:ascii="Calibri" w:hAnsi="Calibri"/>
          <w:b/>
          <w:sz w:val="28"/>
          <w:szCs w:val="28"/>
        </w:rPr>
        <w:tab/>
      </w:r>
    </w:p>
    <w:p w:rsidR="0067442D" w:rsidRPr="004A628E" w:rsidRDefault="00CE1904" w:rsidP="0067442D">
      <w:pPr>
        <w:keepNext/>
        <w:autoSpaceDE w:val="0"/>
        <w:autoSpaceDN w:val="0"/>
        <w:adjustRightInd w:val="0"/>
        <w:spacing w:after="0" w:line="240" w:lineRule="auto"/>
        <w:jc w:val="both"/>
        <w:outlineLvl w:val="1"/>
        <w:rPr>
          <w:rFonts w:cs="Times New Roman"/>
          <w:b/>
          <w:bCs/>
          <w:kern w:val="36"/>
          <w:sz w:val="28"/>
          <w:szCs w:val="28"/>
        </w:rPr>
      </w:pPr>
      <w:r>
        <w:rPr>
          <w:rFonts w:cs="Times New Roman"/>
          <w:b/>
          <w:bCs/>
          <w:kern w:val="36"/>
          <w:sz w:val="28"/>
          <w:szCs w:val="28"/>
        </w:rPr>
        <w:t>PURCHASE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 xml:space="preserve">This is a brief outline of the various aspects of the work involved: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considering all information sent by the seller's conveyancer and raising any additional pre-contract enquiries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 xml:space="preserve">agreeing the form of the Contract </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raising searches and checking all results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all related correspondence, telephone calls, faxes and emails</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preparing a report to you on matters of title, contract, pre-contract searches and enquiries relating to the property</w:t>
      </w:r>
    </w:p>
    <w:p w:rsidR="00CE1904" w:rsidRDefault="00CE1904" w:rsidP="00CE1904">
      <w:pPr>
        <w:pStyle w:val="ListParagraph"/>
        <w:keepNext/>
        <w:numPr>
          <w:ilvl w:val="0"/>
          <w:numId w:val="20"/>
        </w:numPr>
        <w:autoSpaceDE w:val="0"/>
        <w:autoSpaceDN w:val="0"/>
        <w:adjustRightInd w:val="0"/>
        <w:spacing w:after="0" w:line="240" w:lineRule="auto"/>
        <w:jc w:val="both"/>
        <w:outlineLvl w:val="2"/>
      </w:pPr>
      <w:r>
        <w:t>reporting to you on your mortgage offer</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sending contract, mortgage deed and Stamp Duty Land Transaction Return form to you for execution</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confirming your instructions for exchange of Contracts and completion including receiving the deposit payable on exchange</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arranging for the exchange of Contract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the purchase deed to transfer ownership of the property to you and raising pre-completion searches and enquiries</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preparing a completion statement</w:t>
      </w:r>
    </w:p>
    <w:p w:rsidR="00F7444A" w:rsidRDefault="00CE1904" w:rsidP="00CE1904">
      <w:pPr>
        <w:pStyle w:val="ListParagraph"/>
        <w:keepNext/>
        <w:numPr>
          <w:ilvl w:val="0"/>
          <w:numId w:val="20"/>
        </w:numPr>
        <w:autoSpaceDE w:val="0"/>
        <w:autoSpaceDN w:val="0"/>
        <w:adjustRightInd w:val="0"/>
        <w:spacing w:after="0" w:line="240" w:lineRule="auto"/>
        <w:jc w:val="both"/>
        <w:outlineLvl w:val="2"/>
      </w:pPr>
      <w:r>
        <w:t>completing the transaction</w:t>
      </w:r>
    </w:p>
    <w:p w:rsidR="00EA7D0E" w:rsidRPr="00CE1904" w:rsidRDefault="00CE1904" w:rsidP="00CE1904">
      <w:pPr>
        <w:pStyle w:val="ListParagraph"/>
        <w:keepNext/>
        <w:numPr>
          <w:ilvl w:val="0"/>
          <w:numId w:val="20"/>
        </w:numPr>
        <w:autoSpaceDE w:val="0"/>
        <w:autoSpaceDN w:val="0"/>
        <w:adjustRightInd w:val="0"/>
        <w:spacing w:after="0" w:line="240" w:lineRule="auto"/>
        <w:jc w:val="both"/>
        <w:outlineLvl w:val="2"/>
      </w:pPr>
      <w:r>
        <w:t>attending to formalities relating to Stamp Duty Land Tax, and registering the transaction at the Land Registry</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w:t>
      </w:r>
      <w:r w:rsidR="00FE0C1B">
        <w:rPr>
          <w:rFonts w:cstheme="minorHAnsi"/>
        </w:rPr>
        <w:t>purchase</w:t>
      </w:r>
      <w:r w:rsidRPr="00EA7D0E">
        <w:rPr>
          <w:rFonts w:cstheme="minorHAnsi"/>
        </w:rPr>
        <w:t xml:space="preserv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These figures may however vary in cases with special complications. This is why we will always give you an individual cost estimate at the start of the transaction, </w:t>
      </w:r>
      <w:proofErr w:type="gramStart"/>
      <w:r w:rsidRPr="00EA7D0E">
        <w:rPr>
          <w:rFonts w:cstheme="minorHAnsi"/>
        </w:rPr>
        <w:t>taking into account</w:t>
      </w:r>
      <w:proofErr w:type="gramEnd"/>
      <w:r w:rsidRPr="00EA7D0E">
        <w:rPr>
          <w:rFonts w:cstheme="minorHAnsi"/>
        </w:rPr>
        <w:t xml:space="preserve">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742"/>
        <w:gridCol w:w="1742"/>
        <w:gridCol w:w="3315"/>
      </w:tblGrid>
      <w:tr w:rsidR="00176267" w:rsidTr="001D57EA">
        <w:tc>
          <w:tcPr>
            <w:tcW w:w="1742" w:type="dxa"/>
            <w:tcBorders>
              <w:bottom w:val="single" w:sz="4" w:space="0" w:color="auto"/>
              <w:right w:val="nil"/>
            </w:tcBorders>
            <w:shd w:val="clear" w:color="auto" w:fill="E7E6E6" w:themeFill="background2"/>
          </w:tcPr>
          <w:p w:rsidR="00176267" w:rsidRPr="00176267" w:rsidRDefault="00176267" w:rsidP="00EA7D0E">
            <w:pPr>
              <w:jc w:val="both"/>
              <w:rPr>
                <w:rFonts w:cs="Times New Roman"/>
                <w:b/>
              </w:rPr>
            </w:pPr>
            <w:r w:rsidRPr="00176267">
              <w:rPr>
                <w:rFonts w:cs="Times New Roman"/>
                <w:b/>
              </w:rPr>
              <w:t>Sale Price</w:t>
            </w:r>
          </w:p>
        </w:tc>
        <w:tc>
          <w:tcPr>
            <w:tcW w:w="1742" w:type="dxa"/>
            <w:tcBorders>
              <w:left w:val="nil"/>
              <w:bottom w:val="single" w:sz="4" w:space="0" w:color="auto"/>
            </w:tcBorders>
            <w:shd w:val="clear" w:color="auto" w:fill="E7E6E6" w:themeFill="background2"/>
          </w:tcPr>
          <w:p w:rsidR="00176267" w:rsidRPr="00176267" w:rsidRDefault="00176267" w:rsidP="00EA7D0E">
            <w:pPr>
              <w:jc w:val="both"/>
              <w:rPr>
                <w:rFonts w:cs="Times New Roman"/>
                <w:b/>
              </w:rPr>
            </w:pPr>
          </w:p>
        </w:tc>
        <w:tc>
          <w:tcPr>
            <w:tcW w:w="3315" w:type="dxa"/>
            <w:shd w:val="clear" w:color="auto" w:fill="E7E6E6" w:themeFill="background2"/>
          </w:tcPr>
          <w:p w:rsidR="00176267" w:rsidRPr="00176267" w:rsidRDefault="00176267" w:rsidP="00EA7D0E">
            <w:pPr>
              <w:jc w:val="both"/>
              <w:rPr>
                <w:rFonts w:cs="Times New Roman"/>
                <w:b/>
              </w:rPr>
            </w:pPr>
            <w:r w:rsidRPr="00176267">
              <w:rPr>
                <w:rFonts w:cs="Times New Roman"/>
                <w:b/>
              </w:rPr>
              <w:t>Professional Fee</w:t>
            </w:r>
            <w:r w:rsidR="00840529">
              <w:rPr>
                <w:rFonts w:cs="Times New Roman"/>
                <w:b/>
              </w:rPr>
              <w:t xml:space="preserve"> £</w:t>
            </w:r>
            <w:r w:rsidRPr="00176267">
              <w:rPr>
                <w:rFonts w:cs="Times New Roman"/>
                <w:b/>
              </w:rPr>
              <w:t>:</w:t>
            </w:r>
          </w:p>
        </w:tc>
      </w:tr>
      <w:tr w:rsidR="00176267" w:rsidTr="00840529">
        <w:tc>
          <w:tcPr>
            <w:tcW w:w="1742" w:type="dxa"/>
            <w:tcBorders>
              <w:top w:val="single" w:sz="4" w:space="0" w:color="auto"/>
              <w:bottom w:val="single" w:sz="4" w:space="0" w:color="auto"/>
              <w:right w:val="nil"/>
            </w:tcBorders>
          </w:tcPr>
          <w:p w:rsidR="00176267" w:rsidRDefault="00176267" w:rsidP="00EA7D0E">
            <w:pPr>
              <w:jc w:val="both"/>
              <w:rPr>
                <w:rFonts w:cs="Times New Roman"/>
              </w:rPr>
            </w:pPr>
            <w:r>
              <w:rPr>
                <w:rFonts w:cs="Times New Roman"/>
              </w:rPr>
              <w:t>Up to</w:t>
            </w:r>
          </w:p>
        </w:tc>
        <w:tc>
          <w:tcPr>
            <w:tcW w:w="1742" w:type="dxa"/>
            <w:tcBorders>
              <w:top w:val="single" w:sz="4" w:space="0" w:color="auto"/>
              <w:left w:val="nil"/>
              <w:bottom w:val="single" w:sz="4" w:space="0" w:color="auto"/>
            </w:tcBorders>
          </w:tcPr>
          <w:p w:rsidR="00176267" w:rsidRDefault="00176267" w:rsidP="00EA7D0E">
            <w:pPr>
              <w:jc w:val="both"/>
              <w:rPr>
                <w:rFonts w:cs="Times New Roman"/>
              </w:rPr>
            </w:pPr>
            <w:r>
              <w:rPr>
                <w:rFonts w:cs="Times New Roman"/>
              </w:rPr>
              <w:t>£100,000</w:t>
            </w:r>
          </w:p>
        </w:tc>
        <w:tc>
          <w:tcPr>
            <w:tcW w:w="3315" w:type="dxa"/>
          </w:tcPr>
          <w:p w:rsidR="00176267" w:rsidRDefault="00176267" w:rsidP="00EA7D0E">
            <w:pPr>
              <w:jc w:val="both"/>
              <w:rPr>
                <w:rFonts w:cs="Times New Roman"/>
              </w:rPr>
            </w:pPr>
            <w:r>
              <w:rPr>
                <w:rFonts w:cs="Times New Roman"/>
              </w:rPr>
              <w:t>£</w:t>
            </w:r>
            <w:r w:rsidR="00F7444A">
              <w:rPr>
                <w:rFonts w:cs="Times New Roman"/>
              </w:rPr>
              <w:t>7</w:t>
            </w:r>
            <w:r>
              <w:rPr>
                <w:rFonts w:cs="Times New Roman"/>
              </w:rPr>
              <w:t>50</w:t>
            </w:r>
            <w:r w:rsidR="00840529">
              <w:rPr>
                <w:rFonts w:cs="Times New Roman"/>
              </w:rPr>
              <w:t xml:space="preserve"> </w:t>
            </w:r>
            <w:r>
              <w:rPr>
                <w:rFonts w:cs="Times New Roman"/>
              </w:rPr>
              <w:t>-</w:t>
            </w:r>
            <w:r w:rsidR="00840529">
              <w:rPr>
                <w:rFonts w:cs="Times New Roman"/>
              </w:rPr>
              <w:t xml:space="preserve"> £</w:t>
            </w:r>
            <w:r w:rsidR="00F7444A">
              <w:rPr>
                <w:rFonts w:cs="Times New Roman"/>
              </w:rPr>
              <w:t>1,200</w:t>
            </w:r>
            <w:r>
              <w:rPr>
                <w:rFonts w:cs="Times New Roman"/>
              </w:rPr>
              <w:t xml:space="preserve"> (plus VAT)</w:t>
            </w:r>
          </w:p>
        </w:tc>
      </w:tr>
      <w:tr w:rsidR="00176267" w:rsidTr="00840529">
        <w:tc>
          <w:tcPr>
            <w:tcW w:w="1742" w:type="dxa"/>
            <w:tcBorders>
              <w:top w:val="single" w:sz="4" w:space="0" w:color="auto"/>
              <w:bottom w:val="single" w:sz="4" w:space="0" w:color="auto"/>
              <w:right w:val="nil"/>
            </w:tcBorders>
          </w:tcPr>
          <w:p w:rsidR="00176267" w:rsidRDefault="00176267" w:rsidP="00EA7D0E">
            <w:pPr>
              <w:jc w:val="both"/>
              <w:rPr>
                <w:rFonts w:cs="Times New Roman"/>
              </w:rPr>
            </w:pPr>
            <w:r w:rsidRPr="00176267">
              <w:rPr>
                <w:rFonts w:cs="Times New Roman"/>
              </w:rPr>
              <w:t>£100,001</w:t>
            </w:r>
            <w:r w:rsidR="00840529">
              <w:rPr>
                <w:rFonts w:cs="Times New Roman"/>
              </w:rPr>
              <w:t xml:space="preserve"> to</w:t>
            </w:r>
          </w:p>
        </w:tc>
        <w:tc>
          <w:tcPr>
            <w:tcW w:w="1742" w:type="dxa"/>
            <w:tcBorders>
              <w:top w:val="single" w:sz="4" w:space="0" w:color="auto"/>
              <w:left w:val="nil"/>
              <w:bottom w:val="single" w:sz="4" w:space="0" w:color="auto"/>
            </w:tcBorders>
          </w:tcPr>
          <w:p w:rsidR="00176267" w:rsidRDefault="00176267" w:rsidP="00EA7D0E">
            <w:pPr>
              <w:jc w:val="both"/>
              <w:rPr>
                <w:rFonts w:cs="Times New Roman"/>
              </w:rPr>
            </w:pPr>
            <w:r>
              <w:rPr>
                <w:rFonts w:cs="Times New Roman"/>
              </w:rPr>
              <w:t>£200,000</w:t>
            </w:r>
          </w:p>
        </w:tc>
        <w:tc>
          <w:tcPr>
            <w:tcW w:w="3315" w:type="dxa"/>
          </w:tcPr>
          <w:p w:rsidR="00176267" w:rsidRDefault="00840529" w:rsidP="00EA7D0E">
            <w:pPr>
              <w:jc w:val="both"/>
              <w:rPr>
                <w:rFonts w:cs="Times New Roman"/>
              </w:rPr>
            </w:pPr>
            <w:r>
              <w:rPr>
                <w:rFonts w:cs="Times New Roman"/>
              </w:rPr>
              <w:t>£</w:t>
            </w:r>
            <w:r w:rsidR="00F7444A">
              <w:rPr>
                <w:rFonts w:cs="Times New Roman"/>
              </w:rPr>
              <w:t>80</w:t>
            </w:r>
            <w:r>
              <w:rPr>
                <w:rFonts w:cs="Times New Roman"/>
              </w:rPr>
              <w:t xml:space="preserve">0 - £1,500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£200,001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£300,000</w:t>
            </w:r>
          </w:p>
        </w:tc>
        <w:tc>
          <w:tcPr>
            <w:tcW w:w="3315" w:type="dxa"/>
          </w:tcPr>
          <w:p w:rsidR="00176267" w:rsidRDefault="00840529" w:rsidP="00EA7D0E">
            <w:pPr>
              <w:jc w:val="both"/>
              <w:rPr>
                <w:rFonts w:cs="Times New Roman"/>
              </w:rPr>
            </w:pPr>
            <w:r>
              <w:rPr>
                <w:rFonts w:cs="Times New Roman"/>
              </w:rPr>
              <w:t>£8</w:t>
            </w:r>
            <w:r w:rsidR="00F7444A">
              <w:rPr>
                <w:rFonts w:cs="Times New Roman"/>
              </w:rPr>
              <w:t>5</w:t>
            </w:r>
            <w:r>
              <w:rPr>
                <w:rFonts w:cs="Times New Roman"/>
              </w:rPr>
              <w:t>0 - £2,000 (plus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£300,001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£400,000</w:t>
            </w:r>
          </w:p>
        </w:tc>
        <w:tc>
          <w:tcPr>
            <w:tcW w:w="3315" w:type="dxa"/>
          </w:tcPr>
          <w:p w:rsidR="00176267" w:rsidRDefault="00840529" w:rsidP="00EA7D0E">
            <w:pPr>
              <w:jc w:val="both"/>
              <w:rPr>
                <w:rFonts w:cs="Times New Roman"/>
              </w:rPr>
            </w:pPr>
            <w:r>
              <w:rPr>
                <w:rFonts w:cs="Times New Roman"/>
              </w:rPr>
              <w:t>£</w:t>
            </w:r>
            <w:r w:rsidR="00F7444A">
              <w:rPr>
                <w:rFonts w:cs="Times New Roman"/>
              </w:rPr>
              <w:t>900</w:t>
            </w:r>
            <w:r>
              <w:rPr>
                <w:rFonts w:cs="Times New Roman"/>
              </w:rPr>
              <w:t xml:space="preserve"> - £</w:t>
            </w:r>
            <w:r w:rsidR="00F7444A">
              <w:rPr>
                <w:rFonts w:cs="Times New Roman"/>
              </w:rPr>
              <w:t>2,500</w:t>
            </w:r>
            <w:r>
              <w:rPr>
                <w:rFonts w:cs="Times New Roman"/>
              </w:rPr>
              <w:t xml:space="preserve"> (plus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£400,001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£500,000</w:t>
            </w:r>
          </w:p>
        </w:tc>
        <w:tc>
          <w:tcPr>
            <w:tcW w:w="3315" w:type="dxa"/>
          </w:tcPr>
          <w:p w:rsidR="00176267" w:rsidRDefault="00840529" w:rsidP="00EA7D0E">
            <w:pPr>
              <w:jc w:val="both"/>
              <w:rPr>
                <w:rFonts w:cs="Times New Roman"/>
              </w:rPr>
            </w:pPr>
            <w:r>
              <w:rPr>
                <w:rFonts w:cs="Times New Roman"/>
              </w:rPr>
              <w:t>£9</w:t>
            </w:r>
            <w:r w:rsidR="00F7444A">
              <w:rPr>
                <w:rFonts w:cs="Times New Roman"/>
              </w:rPr>
              <w:t>5</w:t>
            </w:r>
            <w:r>
              <w:rPr>
                <w:rFonts w:cs="Times New Roman"/>
              </w:rPr>
              <w:t xml:space="preserve">0 - £3,000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£500,001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£600,000</w:t>
            </w:r>
          </w:p>
        </w:tc>
        <w:tc>
          <w:tcPr>
            <w:tcW w:w="3315" w:type="dxa"/>
          </w:tcPr>
          <w:p w:rsidR="00176267" w:rsidRDefault="00840529" w:rsidP="00EA7D0E">
            <w:pPr>
              <w:jc w:val="both"/>
              <w:rPr>
                <w:rFonts w:cs="Times New Roman"/>
              </w:rPr>
            </w:pPr>
            <w:r>
              <w:rPr>
                <w:rFonts w:cs="Times New Roman"/>
              </w:rPr>
              <w:t>£</w:t>
            </w:r>
            <w:r w:rsidR="00F7444A">
              <w:rPr>
                <w:rFonts w:cs="Times New Roman"/>
              </w:rPr>
              <w:t>1,000</w:t>
            </w:r>
            <w:r>
              <w:rPr>
                <w:rFonts w:cs="Times New Roman"/>
              </w:rPr>
              <w:t xml:space="preserve"> - £3,500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£600,001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£700,000</w:t>
            </w:r>
          </w:p>
        </w:tc>
        <w:tc>
          <w:tcPr>
            <w:tcW w:w="3315" w:type="dxa"/>
          </w:tcPr>
          <w:p w:rsidR="00176267" w:rsidRDefault="00840529" w:rsidP="00EA7D0E">
            <w:pPr>
              <w:jc w:val="both"/>
              <w:rPr>
                <w:rFonts w:cs="Times New Roman"/>
              </w:rPr>
            </w:pPr>
            <w:r>
              <w:rPr>
                <w:rFonts w:cs="Times New Roman"/>
              </w:rPr>
              <w:t>£1,0</w:t>
            </w:r>
            <w:r w:rsidR="00F7444A">
              <w:rPr>
                <w:rFonts w:cs="Times New Roman"/>
              </w:rPr>
              <w:t>5</w:t>
            </w:r>
            <w:r>
              <w:rPr>
                <w:rFonts w:cs="Times New Roman"/>
              </w:rPr>
              <w:t xml:space="preserve">0 - £4,000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£700,001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£800,000</w:t>
            </w:r>
          </w:p>
        </w:tc>
        <w:tc>
          <w:tcPr>
            <w:tcW w:w="3315" w:type="dxa"/>
          </w:tcPr>
          <w:p w:rsidR="00176267" w:rsidRDefault="00840529" w:rsidP="00EA7D0E">
            <w:pPr>
              <w:jc w:val="both"/>
              <w:rPr>
                <w:rFonts w:cs="Times New Roman"/>
              </w:rPr>
            </w:pPr>
            <w:r>
              <w:rPr>
                <w:rFonts w:cs="Times New Roman"/>
              </w:rPr>
              <w:t>£1,</w:t>
            </w:r>
            <w:r w:rsidR="00F7444A">
              <w:rPr>
                <w:rFonts w:cs="Times New Roman"/>
              </w:rPr>
              <w:t>10</w:t>
            </w:r>
            <w:r>
              <w:rPr>
                <w:rFonts w:cs="Times New Roman"/>
              </w:rPr>
              <w:t xml:space="preserve">0 - £4,500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1D57EA" w:rsidP="00EA7D0E">
            <w:pPr>
              <w:jc w:val="both"/>
              <w:rPr>
                <w:rFonts w:cs="Times New Roman"/>
              </w:rPr>
            </w:pPr>
            <w:r>
              <w:rPr>
                <w:rFonts w:cs="Times New Roman"/>
              </w:rPr>
              <w:t xml:space="preserve">£800,001 to </w:t>
            </w:r>
          </w:p>
        </w:tc>
        <w:tc>
          <w:tcPr>
            <w:tcW w:w="1742" w:type="dxa"/>
            <w:tcBorders>
              <w:top w:val="single" w:sz="4" w:space="0" w:color="auto"/>
              <w:left w:val="nil"/>
              <w:bottom w:val="single" w:sz="4" w:space="0" w:color="auto"/>
            </w:tcBorders>
          </w:tcPr>
          <w:p w:rsidR="00176267" w:rsidRDefault="001D57EA" w:rsidP="00EA7D0E">
            <w:pPr>
              <w:jc w:val="both"/>
              <w:rPr>
                <w:rFonts w:cs="Times New Roman"/>
              </w:rPr>
            </w:pPr>
            <w:r>
              <w:rPr>
                <w:rFonts w:cs="Times New Roman"/>
              </w:rPr>
              <w:t>£900,000</w:t>
            </w:r>
          </w:p>
        </w:tc>
        <w:tc>
          <w:tcPr>
            <w:tcW w:w="3315" w:type="dxa"/>
          </w:tcPr>
          <w:p w:rsidR="00176267" w:rsidRDefault="001D57EA" w:rsidP="00EA7D0E">
            <w:pPr>
              <w:jc w:val="both"/>
              <w:rPr>
                <w:rFonts w:cs="Times New Roman"/>
              </w:rPr>
            </w:pPr>
            <w:r>
              <w:rPr>
                <w:rFonts w:cs="Times New Roman"/>
              </w:rPr>
              <w:t>£1,1</w:t>
            </w:r>
            <w:r w:rsidR="00F7444A">
              <w:rPr>
                <w:rFonts w:cs="Times New Roman"/>
              </w:rPr>
              <w:t>5</w:t>
            </w:r>
            <w:r>
              <w:rPr>
                <w:rFonts w:cs="Times New Roman"/>
              </w:rPr>
              <w:t xml:space="preserve">0 - £5,000 </w:t>
            </w:r>
            <w:r>
              <w:rPr>
                <w:rFonts w:cs="Times New Roman"/>
              </w:rPr>
              <w:t>(plus VAT)</w:t>
            </w:r>
          </w:p>
        </w:tc>
      </w:tr>
      <w:tr w:rsidR="00176267" w:rsidTr="00840529">
        <w:tc>
          <w:tcPr>
            <w:tcW w:w="1742" w:type="dxa"/>
            <w:tcBorders>
              <w:top w:val="single" w:sz="4" w:space="0" w:color="auto"/>
              <w:right w:val="nil"/>
            </w:tcBorders>
          </w:tcPr>
          <w:p w:rsidR="00176267" w:rsidRDefault="001D57EA" w:rsidP="00EA7D0E">
            <w:pPr>
              <w:jc w:val="both"/>
              <w:rPr>
                <w:rFonts w:cs="Times New Roman"/>
              </w:rPr>
            </w:pPr>
            <w:r>
              <w:rPr>
                <w:rFonts w:cs="Times New Roman"/>
              </w:rPr>
              <w:t>£900,001 to</w:t>
            </w:r>
          </w:p>
        </w:tc>
        <w:tc>
          <w:tcPr>
            <w:tcW w:w="1742" w:type="dxa"/>
            <w:tcBorders>
              <w:top w:val="single" w:sz="4" w:space="0" w:color="auto"/>
              <w:left w:val="nil"/>
            </w:tcBorders>
          </w:tcPr>
          <w:p w:rsidR="00176267" w:rsidRDefault="001D57EA" w:rsidP="00EA7D0E">
            <w:pPr>
              <w:jc w:val="both"/>
              <w:rPr>
                <w:rFonts w:cs="Times New Roman"/>
              </w:rPr>
            </w:pPr>
            <w:r>
              <w:rPr>
                <w:rFonts w:cs="Times New Roman"/>
              </w:rPr>
              <w:t>£1,000,000</w:t>
            </w:r>
          </w:p>
        </w:tc>
        <w:tc>
          <w:tcPr>
            <w:tcW w:w="3315" w:type="dxa"/>
          </w:tcPr>
          <w:p w:rsidR="00176267" w:rsidRDefault="001D57EA" w:rsidP="00EA7D0E">
            <w:pPr>
              <w:jc w:val="both"/>
              <w:rPr>
                <w:rFonts w:cs="Times New Roman"/>
              </w:rPr>
            </w:pPr>
            <w:r>
              <w:rPr>
                <w:rFonts w:cs="Times New Roman"/>
              </w:rPr>
              <w:t>£1,</w:t>
            </w:r>
            <w:r w:rsidR="00F7444A">
              <w:rPr>
                <w:rFonts w:cs="Times New Roman"/>
              </w:rPr>
              <w:t>20</w:t>
            </w:r>
            <w:r>
              <w:rPr>
                <w:rFonts w:cs="Times New Roman"/>
              </w:rPr>
              <w:t xml:space="preserve">0 - £5,500 </w:t>
            </w:r>
            <w:r>
              <w:rPr>
                <w:rFonts w:cs="Times New Roman"/>
              </w:rPr>
              <w:t>(plus VAT)</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6091"/>
        <w:gridCol w:w="2835"/>
      </w:tblGrid>
      <w:tr w:rsidR="001D57EA" w:rsidTr="001D57EA">
        <w:tc>
          <w:tcPr>
            <w:tcW w:w="6091" w:type="dxa"/>
            <w:tcBorders>
              <w:bottom w:val="single" w:sz="4" w:space="0" w:color="auto"/>
            </w:tcBorders>
            <w:shd w:val="clear" w:color="auto" w:fill="E7E6E6" w:themeFill="background2"/>
          </w:tcPr>
          <w:p w:rsidR="001D57EA" w:rsidRPr="00176267" w:rsidRDefault="001D57EA" w:rsidP="0065604E">
            <w:pPr>
              <w:jc w:val="both"/>
              <w:rPr>
                <w:rFonts w:cs="Times New Roman"/>
                <w:b/>
              </w:rPr>
            </w:pPr>
            <w:r>
              <w:rPr>
                <w:rFonts w:cs="Times New Roman"/>
                <w:b/>
              </w:rPr>
              <w:t>Circumstance</w:t>
            </w:r>
          </w:p>
        </w:tc>
        <w:tc>
          <w:tcPr>
            <w:tcW w:w="2835" w:type="dxa"/>
            <w:shd w:val="clear" w:color="auto" w:fill="E7E6E6" w:themeFill="background2"/>
          </w:tcPr>
          <w:p w:rsidR="001D57EA" w:rsidRPr="00176267" w:rsidRDefault="001D57EA"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A Leasehold Flat *</w:t>
            </w:r>
          </w:p>
        </w:tc>
        <w:tc>
          <w:tcPr>
            <w:tcW w:w="2835" w:type="dxa"/>
          </w:tcPr>
          <w:p w:rsidR="001D57EA" w:rsidRPr="00DE15B6" w:rsidRDefault="001D57EA" w:rsidP="001D57EA">
            <w:r w:rsidRPr="00DE15B6">
              <w:t>£200</w:t>
            </w:r>
            <w:r>
              <w:t xml:space="preserve"> (plus VAT)</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 xml:space="preserve">A Shared Ownership </w:t>
            </w:r>
            <w:r w:rsidR="00F7444A">
              <w:t>purchase</w:t>
            </w:r>
            <w:r w:rsidRPr="00DE15B6">
              <w:t xml:space="preserve"> (where you </w:t>
            </w:r>
            <w:r w:rsidR="00F7444A">
              <w:t>purchase</w:t>
            </w:r>
            <w:r w:rsidRPr="00DE15B6">
              <w:t xml:space="preserve"> a share in a property (and the landlord owns the other share)</w:t>
            </w:r>
            <w:r w:rsidR="00F7444A">
              <w:t>)</w:t>
            </w:r>
            <w:r w:rsidRPr="00DE15B6">
              <w:t xml:space="preserve"> *</w:t>
            </w:r>
          </w:p>
        </w:tc>
        <w:tc>
          <w:tcPr>
            <w:tcW w:w="2835" w:type="dxa"/>
          </w:tcPr>
          <w:p w:rsidR="001D57EA" w:rsidRPr="00DE15B6" w:rsidRDefault="001D57EA" w:rsidP="001D57EA">
            <w:r w:rsidRPr="00DE15B6">
              <w:t>£250</w:t>
            </w:r>
            <w:r>
              <w:t xml:space="preserve"> </w:t>
            </w:r>
            <w:r>
              <w:t>(plus VAT)</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lastRenderedPageBreak/>
              <w:t>Purchasing a new build property</w:t>
            </w:r>
          </w:p>
        </w:tc>
        <w:tc>
          <w:tcPr>
            <w:tcW w:w="2835" w:type="dxa"/>
          </w:tcPr>
          <w:p w:rsidR="00F7444A" w:rsidRPr="00C92644" w:rsidRDefault="00F7444A" w:rsidP="00F7444A">
            <w:r w:rsidRPr="00C92644">
              <w:t>£250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 xml:space="preserve">Purchasing using a Help </w:t>
            </w:r>
            <w:proofErr w:type="gramStart"/>
            <w:r w:rsidRPr="00C92644">
              <w:t>To</w:t>
            </w:r>
            <w:proofErr w:type="gramEnd"/>
            <w:r w:rsidRPr="00C92644">
              <w:t xml:space="preserve"> Buy ISA</w:t>
            </w:r>
          </w:p>
        </w:tc>
        <w:tc>
          <w:tcPr>
            <w:tcW w:w="2835" w:type="dxa"/>
          </w:tcPr>
          <w:p w:rsidR="00F7444A" w:rsidRPr="00C92644" w:rsidRDefault="00F7444A" w:rsidP="00F7444A">
            <w:r w:rsidRPr="00C92644">
              <w:t>£50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 xml:space="preserve">Purchasing using a Help </w:t>
            </w:r>
            <w:proofErr w:type="gramStart"/>
            <w:r w:rsidRPr="00C92644">
              <w:t>To</w:t>
            </w:r>
            <w:proofErr w:type="gramEnd"/>
            <w:r w:rsidRPr="00C92644">
              <w:t xml:space="preserve"> Buy Equity Loan</w:t>
            </w:r>
          </w:p>
        </w:tc>
        <w:tc>
          <w:tcPr>
            <w:tcW w:w="2835" w:type="dxa"/>
          </w:tcPr>
          <w:p w:rsidR="00F7444A" w:rsidRPr="00C92644" w:rsidRDefault="00F7444A" w:rsidP="00F7444A">
            <w:r w:rsidRPr="00C92644">
              <w:t>£250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Purchasing using a Help to Buy Forces Scheme Loan</w:t>
            </w:r>
          </w:p>
        </w:tc>
        <w:tc>
          <w:tcPr>
            <w:tcW w:w="2835" w:type="dxa"/>
          </w:tcPr>
          <w:p w:rsidR="00F7444A" w:rsidRPr="00C92644" w:rsidRDefault="00F7444A" w:rsidP="00F7444A">
            <w:r w:rsidRPr="00C92644">
              <w:t>£250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The Preparation of a Declaration of Trust</w:t>
            </w:r>
          </w:p>
        </w:tc>
        <w:tc>
          <w:tcPr>
            <w:tcW w:w="2835" w:type="dxa"/>
          </w:tcPr>
          <w:p w:rsidR="00F7444A" w:rsidRPr="00C92644" w:rsidRDefault="00F7444A" w:rsidP="00F7444A">
            <w:r w:rsidRPr="00C92644">
              <w:t>£250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Purchasing a property which has been repossessed</w:t>
            </w:r>
          </w:p>
        </w:tc>
        <w:tc>
          <w:tcPr>
            <w:tcW w:w="2835" w:type="dxa"/>
          </w:tcPr>
          <w:p w:rsidR="00F7444A" w:rsidRPr="00C92644" w:rsidRDefault="00F7444A" w:rsidP="00F7444A">
            <w:r w:rsidRPr="00C92644">
              <w:t>£100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 xml:space="preserve">Purchasing where </w:t>
            </w:r>
            <w:proofErr w:type="gramStart"/>
            <w:r w:rsidRPr="00C92644">
              <w:t>a  property</w:t>
            </w:r>
            <w:proofErr w:type="gramEnd"/>
            <w:r w:rsidRPr="00C92644">
              <w:t xml:space="preserve"> has  Solar Panels</w:t>
            </w:r>
          </w:p>
        </w:tc>
        <w:tc>
          <w:tcPr>
            <w:tcW w:w="2835" w:type="dxa"/>
          </w:tcPr>
          <w:p w:rsidR="00F7444A" w:rsidRPr="00C92644" w:rsidRDefault="00F7444A" w:rsidP="00F7444A">
            <w:r w:rsidRPr="00C92644">
              <w:t>£100</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Electronic ID check (where required) (approx.)</w:t>
            </w:r>
          </w:p>
        </w:tc>
        <w:tc>
          <w:tcPr>
            <w:tcW w:w="2835" w:type="dxa"/>
          </w:tcPr>
          <w:p w:rsidR="00F7444A" w:rsidRPr="00C92644" w:rsidRDefault="00F7444A" w:rsidP="00F7444A">
            <w:r w:rsidRPr="00C92644">
              <w:t>£15</w:t>
            </w:r>
          </w:p>
        </w:tc>
      </w:tr>
      <w:tr w:rsidR="00F7444A" w:rsidTr="001D57EA">
        <w:tc>
          <w:tcPr>
            <w:tcW w:w="6091" w:type="dxa"/>
            <w:tcBorders>
              <w:top w:val="single" w:sz="4" w:space="0" w:color="auto"/>
              <w:bottom w:val="single" w:sz="4" w:space="0" w:color="auto"/>
            </w:tcBorders>
          </w:tcPr>
          <w:p w:rsidR="00F7444A" w:rsidRPr="00C92644" w:rsidRDefault="00F7444A" w:rsidP="00F7444A">
            <w:r w:rsidRPr="00C92644">
              <w:t>Electronic Money Transfer Fee</w:t>
            </w:r>
          </w:p>
        </w:tc>
        <w:tc>
          <w:tcPr>
            <w:tcW w:w="2835" w:type="dxa"/>
          </w:tcPr>
          <w:p w:rsidR="00F7444A" w:rsidRDefault="00F7444A" w:rsidP="00F7444A">
            <w:r w:rsidRPr="00C92644">
              <w:t>£19.20</w:t>
            </w:r>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This is why we will always give you an individual cost estimate at the start of the transaction, </w:t>
      </w:r>
      <w:proofErr w:type="gramStart"/>
      <w:r w:rsidRPr="004A628E">
        <w:rPr>
          <w:rFonts w:cs="Times New Roman"/>
        </w:rPr>
        <w:t>taking into account</w:t>
      </w:r>
      <w:proofErr w:type="gramEnd"/>
      <w:r w:rsidRPr="004A628E">
        <w:rPr>
          <w:rFonts w:cs="Times New Roman"/>
        </w:rPr>
        <w:t xml:space="preserve"> the ac</w:t>
      </w:r>
      <w:r w:rsidR="005B5B05" w:rsidRPr="004A628E">
        <w:rPr>
          <w:rFonts w:cs="Times New Roman"/>
        </w:rPr>
        <w:t>tual features of your purchase, including:</w:t>
      </w:r>
    </w:p>
    <w:p w:rsidR="00CD3939" w:rsidRDefault="00CD3939" w:rsidP="00CD3939">
      <w:pPr>
        <w:pStyle w:val="ListParagraph"/>
        <w:tabs>
          <w:tab w:val="right" w:pos="8505"/>
          <w:tab w:val="left" w:pos="8789"/>
        </w:tabs>
        <w:autoSpaceDE w:val="0"/>
        <w:autoSpaceDN w:val="0"/>
        <w:adjustRightInd w:val="0"/>
        <w:spacing w:after="0" w:line="240" w:lineRule="auto"/>
        <w:ind w:left="567"/>
        <w:jc w:val="both"/>
        <w:rPr>
          <w:rFonts w:cs="Times New Roman"/>
        </w:rPr>
      </w:pPr>
    </w:p>
    <w:p w:rsidR="00CD3939" w:rsidRPr="00CD3939" w:rsidRDefault="00CD3939"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approximate search fees (these vary from one local authority to another) </w:t>
      </w:r>
      <w:r>
        <w:tab/>
        <w:t>£250.00</w:t>
      </w:r>
      <w:r>
        <w:tab/>
        <w:t>plus VAT</w:t>
      </w:r>
    </w:p>
    <w:p w:rsidR="0067442D" w:rsidRDefault="0067442D"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t>plus VAT</w:t>
      </w:r>
    </w:p>
    <w:p w:rsidR="00CD3939" w:rsidRPr="00CD3939" w:rsidRDefault="00073AD5"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administrative charge if a ‘gifted deposit’ is involved £75 plus VAT </w:t>
      </w:r>
    </w:p>
    <w:p w:rsidR="00CD3939" w:rsidRPr="00CD3939" w:rsidRDefault="00073AD5" w:rsidP="00100BF6">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electronic money transfer </w:t>
      </w:r>
      <w:proofErr w:type="gramStart"/>
      <w:r>
        <w:t>fee ,</w:t>
      </w:r>
      <w:proofErr w:type="gramEnd"/>
      <w:r>
        <w:t xml:space="preserve"> per transaction </w:t>
      </w:r>
      <w:r w:rsidR="00CD3939">
        <w:tab/>
      </w:r>
      <w:r>
        <w:t>£1</w:t>
      </w:r>
      <w:r w:rsidR="00CD3939">
        <w:t>6</w:t>
      </w:r>
      <w:r>
        <w:t xml:space="preserve"> </w:t>
      </w:r>
      <w:r w:rsidR="00100BF6">
        <w:tab/>
      </w:r>
      <w:r>
        <w:t>plus VAT</w:t>
      </w:r>
    </w:p>
    <w:p w:rsidR="00100BF6" w:rsidRPr="00100BF6" w:rsidRDefault="00073AD5"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pre-completion searches approximately </w:t>
      </w:r>
      <w:r w:rsidR="00100BF6">
        <w:tab/>
      </w:r>
      <w:r>
        <w:t xml:space="preserve">£11 </w:t>
      </w:r>
      <w:r w:rsidR="00100BF6">
        <w:tab/>
      </w:r>
      <w:r>
        <w:t xml:space="preserve">plus VAT </w:t>
      </w:r>
    </w:p>
    <w:p w:rsidR="00100BF6" w:rsidRPr="00100BF6" w:rsidRDefault="00073AD5"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 xml:space="preserve">Stamp Duty tax (see official calculator: https://www.gov.uk/stamp-duty-land-tax/residential-property-rates) </w:t>
      </w:r>
    </w:p>
    <w:p w:rsidR="00073AD5" w:rsidRPr="00100BF6" w:rsidRDefault="00073AD5" w:rsidP="00100BF6">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t>Land Registry fee</w:t>
      </w:r>
      <w:r w:rsidR="00100BF6">
        <w:t xml:space="preserve">s </w:t>
      </w:r>
      <w:r>
        <w:t>(see official calculator: http://landregistry.data.gov.uk/fees-calculator.htm)</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Transfer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if chargeable is set out in the lease, determined by the Landlord.  This could be from £10 to £300**.</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Notice of Charge fee (if the property is to be mortgaged)</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 xml:space="preserve">This fee is set out in the lease, determined by the Landlord.  The fee may be as above**, (also plus VAT).     </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Deed of Covenant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This fee is provided by the management company for the property and can be difficult to estimate.  Often it is between £100 &amp; £350 (plus VAT)</w:t>
      </w:r>
    </w:p>
    <w:p w:rsidR="00100BF6" w:rsidRPr="00F340A9" w:rsidRDefault="00100BF6" w:rsidP="00100BF6">
      <w:pPr>
        <w:pStyle w:val="ListParagraph"/>
        <w:numPr>
          <w:ilvl w:val="0"/>
          <w:numId w:val="12"/>
        </w:numPr>
        <w:autoSpaceDE w:val="0"/>
        <w:autoSpaceDN w:val="0"/>
        <w:adjustRightInd w:val="0"/>
        <w:spacing w:after="0" w:line="240" w:lineRule="auto"/>
        <w:ind w:left="567" w:hanging="283"/>
        <w:jc w:val="both"/>
        <w:rPr>
          <w:rFonts w:cs="Times New Roman"/>
        </w:rPr>
      </w:pPr>
      <w:r w:rsidRPr="00F340A9">
        <w:rPr>
          <w:rFonts w:cs="Times New Roman"/>
        </w:rPr>
        <w:t>Certificate of Compliance fee</w:t>
      </w:r>
    </w:p>
    <w:p w:rsidR="00100BF6" w:rsidRPr="00F340A9" w:rsidRDefault="00100BF6" w:rsidP="00100BF6">
      <w:pPr>
        <w:pStyle w:val="ListParagraph"/>
        <w:autoSpaceDE w:val="0"/>
        <w:autoSpaceDN w:val="0"/>
        <w:adjustRightInd w:val="0"/>
        <w:spacing w:after="0" w:line="240" w:lineRule="auto"/>
        <w:ind w:left="851"/>
        <w:jc w:val="both"/>
        <w:rPr>
          <w:rFonts w:cs="Times New Roman"/>
        </w:rPr>
      </w:pPr>
      <w:r w:rsidRPr="00F340A9">
        <w:rPr>
          <w:rFonts w:cs="Times New Roman"/>
        </w:rPr>
        <w:t>To be confirmed upon receipt of the lease, as this can range between £30 &amp; £150 (plus VAT)</w:t>
      </w:r>
    </w:p>
    <w:p w:rsidR="00100BF6" w:rsidRPr="00F340A9" w:rsidRDefault="00100BF6" w:rsidP="00100BF6">
      <w:pPr>
        <w:autoSpaceDE w:val="0"/>
        <w:autoSpaceDN w:val="0"/>
        <w:adjustRightInd w:val="0"/>
        <w:spacing w:after="0" w:line="240" w:lineRule="auto"/>
        <w:jc w:val="both"/>
        <w:rPr>
          <w:rFonts w:cs="Times New Roman"/>
          <w:i/>
          <w:iCs/>
        </w:rPr>
      </w:pPr>
      <w:r w:rsidRPr="00F340A9">
        <w:rPr>
          <w:rFonts w:cs="Times New Roman"/>
          <w:i/>
          <w:iCs/>
        </w:rPr>
        <w:t xml:space="preserve">*These fees vary from property to property and can on occasion be significantly more than the ranges given above. We can give you an accurate figure once we have sight of your specific documents.  You should also be aware that ground rent and service charge are likely to apply throughout your ownership of the property.  We will confirm the ground rent and the anticipated service charge as soon as we receive this information.  </w:t>
      </w:r>
    </w:p>
    <w:p w:rsidR="00670508" w:rsidRPr="004A628E" w:rsidRDefault="00670508" w:rsidP="00670508">
      <w:pPr>
        <w:autoSpaceDE w:val="0"/>
        <w:autoSpaceDN w:val="0"/>
        <w:adjustRightInd w:val="0"/>
        <w:spacing w:after="0" w:line="240" w:lineRule="auto"/>
        <w:jc w:val="both"/>
        <w:rPr>
          <w:rFonts w:cs="Times New Roman"/>
          <w:i/>
        </w:rPr>
      </w:pPr>
    </w:p>
    <w:p w:rsidR="00100BF6" w:rsidRPr="00100BF6" w:rsidRDefault="00100BF6" w:rsidP="00100BF6">
      <w:pPr>
        <w:autoSpaceDE w:val="0"/>
        <w:autoSpaceDN w:val="0"/>
        <w:adjustRightInd w:val="0"/>
        <w:spacing w:after="0" w:line="240" w:lineRule="auto"/>
        <w:jc w:val="both"/>
        <w:rPr>
          <w:rFonts w:ascii="Calibri" w:eastAsia="Calibri" w:hAnsi="Calibri" w:cs="Times New Roman"/>
        </w:rPr>
      </w:pPr>
      <w:r w:rsidRPr="00100BF6">
        <w:rPr>
          <w:rFonts w:ascii="Calibri" w:eastAsia="Calibri" w:hAnsi="Calibri" w:cs="Times New Roman"/>
        </w:rPr>
        <w:t xml:space="preserve">For the year to January 2022, our average residential conveyancing fee for a house purchase (before solicitor’s costs, i.e. searches and disbursements) was £753, ranging from £395 to £2,500.   Total fees during the period for a completed purchase, including disbursements and VAT, ranged from £495 to £2,500.    Stamp Duty is a quite separate expense.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100BF6" w:rsidRPr="00100BF6" w:rsidRDefault="00100BF6" w:rsidP="00100BF6">
      <w:pPr>
        <w:autoSpaceDE w:val="0"/>
        <w:autoSpaceDN w:val="0"/>
        <w:adjustRightInd w:val="0"/>
        <w:spacing w:after="0" w:line="240" w:lineRule="auto"/>
        <w:jc w:val="both"/>
        <w:rPr>
          <w:rFonts w:ascii="Calibri" w:hAnsi="Calibri"/>
        </w:rPr>
      </w:pPr>
    </w:p>
    <w:p w:rsidR="00100BF6" w:rsidRPr="00100BF6" w:rsidRDefault="00100BF6" w:rsidP="00100BF6">
      <w:pPr>
        <w:autoSpaceDE w:val="0"/>
        <w:autoSpaceDN w:val="0"/>
        <w:adjustRightInd w:val="0"/>
        <w:spacing w:after="0" w:line="240" w:lineRule="auto"/>
        <w:jc w:val="both"/>
        <w:rPr>
          <w:rFonts w:ascii="Calibri" w:hAnsi="Calibri"/>
        </w:rPr>
      </w:pPr>
      <w:r w:rsidRPr="00100BF6">
        <w:rPr>
          <w:rFonts w:ascii="Calibri" w:hAnsi="Calibri"/>
        </w:rPr>
        <w:t xml:space="preserve">Stamp Duty or Land Tax (on purchase) depends on the purchase price of your property. You can calculate the amount you will need to pay by using HMRC's website or if the property is located in Wales by using the Welsh Revenue Authority's website.    </w:t>
      </w:r>
    </w:p>
    <w:p w:rsidR="00100BF6" w:rsidRPr="00100BF6" w:rsidRDefault="00100BF6" w:rsidP="00100BF6">
      <w:pPr>
        <w:autoSpaceDE w:val="0"/>
        <w:autoSpaceDN w:val="0"/>
        <w:adjustRightInd w:val="0"/>
        <w:spacing w:after="0" w:line="240" w:lineRule="auto"/>
        <w:jc w:val="both"/>
        <w:rPr>
          <w:rFonts w:ascii="Calibri" w:hAnsi="Calibri"/>
        </w:rPr>
      </w:pPr>
    </w:p>
    <w:p w:rsidR="000C4597" w:rsidRPr="004A628E" w:rsidRDefault="00100BF6" w:rsidP="00100BF6">
      <w:pPr>
        <w:autoSpaceDE w:val="0"/>
        <w:autoSpaceDN w:val="0"/>
        <w:adjustRightInd w:val="0"/>
        <w:spacing w:after="0" w:line="240" w:lineRule="auto"/>
        <w:jc w:val="both"/>
        <w:rPr>
          <w:rFonts w:cs="Times New Roman"/>
        </w:rPr>
      </w:pPr>
      <w:r w:rsidRPr="00100BF6">
        <w:rPr>
          <w:rFonts w:ascii="Calibri" w:hAnsi="Calibri"/>
        </w:rPr>
        <w:t>Land Registry registration fee - You can calculate the amount you will need to pay by using Land Registry’s website.</w:t>
      </w: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w:t>
      </w:r>
      <w:proofErr w:type="gramStart"/>
      <w:r w:rsidRPr="004A628E">
        <w:rPr>
          <w:rFonts w:cs="Times New Roman"/>
        </w:rPr>
        <w:t>mortgage:-</w:t>
      </w:r>
      <w:proofErr w:type="gramEnd"/>
      <w:r w:rsidRPr="004A628E">
        <w:rPr>
          <w:rFonts w:cs="Times New Roman"/>
        </w:rPr>
        <w:t xml:space="preserve"> </w:t>
      </w:r>
    </w:p>
    <w:p w:rsidR="000C4597" w:rsidRPr="004A628E" w:rsidRDefault="00100BF6"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Pre-exchange searches</w:t>
      </w:r>
      <w:r w:rsidR="000C4597" w:rsidRPr="004A628E">
        <w:rPr>
          <w:rFonts w:cs="Times New Roman"/>
        </w:rPr>
        <w:t xml:space="preserve"> </w:t>
      </w:r>
      <w:r w:rsidR="000C4597" w:rsidRPr="004A628E">
        <w:rPr>
          <w:rFonts w:cs="Times New Roman"/>
        </w:rPr>
        <w:tab/>
        <w:t>£</w:t>
      </w:r>
      <w:r>
        <w:rPr>
          <w:rFonts w:cs="Times New Roman"/>
        </w:rPr>
        <w:t>162.00</w:t>
      </w:r>
      <w:r w:rsidR="000C4597" w:rsidRPr="004A628E">
        <w:rPr>
          <w:rFonts w:cs="Times New Roman"/>
        </w:rPr>
        <w:t xml:space="preserve"> </w:t>
      </w:r>
      <w:r w:rsidR="000C4597" w:rsidRPr="004A628E">
        <w:rPr>
          <w:rFonts w:cs="Times New Roman"/>
        </w:rPr>
        <w:tab/>
        <w:t xml:space="preserve">     £</w:t>
      </w:r>
      <w:r>
        <w:rPr>
          <w:rFonts w:cs="Times New Roman"/>
        </w:rPr>
        <w:t>194.20</w:t>
      </w:r>
      <w:r w:rsidR="000C4597" w:rsidRPr="004A628E">
        <w:rPr>
          <w:rFonts w:cs="Times New Roman"/>
        </w:rPr>
        <w:tab/>
      </w:r>
      <w:proofErr w:type="spellStart"/>
      <w:r w:rsidR="000C4597" w:rsidRPr="004A628E">
        <w:rPr>
          <w:rFonts w:cs="Times New Roman"/>
        </w:rPr>
        <w:t>inc.</w:t>
      </w:r>
      <w:proofErr w:type="spellEnd"/>
      <w:r w:rsidR="000C4597" w:rsidRPr="004A628E">
        <w:rPr>
          <w:rFonts w:cs="Times New Roman"/>
        </w:rPr>
        <w:t xml:space="preserve"> VAT</w:t>
      </w:r>
    </w:p>
    <w:p w:rsidR="00100BF6" w:rsidRDefault="00100BF6"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Post-exchange / Pre-completion searches</w:t>
      </w:r>
      <w:r>
        <w:rPr>
          <w:rFonts w:cs="Times New Roman"/>
        </w:rPr>
        <w:tab/>
        <w:t>£11.00</w:t>
      </w:r>
      <w:r>
        <w:rPr>
          <w:rFonts w:cs="Times New Roman"/>
        </w:rPr>
        <w:tab/>
        <w:t>£13.20</w:t>
      </w:r>
      <w:r>
        <w:rPr>
          <w:rFonts w:cs="Times New Roman"/>
        </w:rPr>
        <w:tab/>
      </w:r>
      <w:proofErr w:type="spellStart"/>
      <w:r>
        <w:rPr>
          <w:rFonts w:cs="Times New Roman"/>
        </w:rPr>
        <w:t>inc.</w:t>
      </w:r>
      <w:proofErr w:type="spellEnd"/>
      <w:r>
        <w:rPr>
          <w:rFonts w:cs="Times New Roman"/>
        </w:rPr>
        <w:t xml:space="preserve"> VAT</w:t>
      </w:r>
    </w:p>
    <w:p w:rsidR="00670508" w:rsidRDefault="00670508"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sidRPr="004A628E">
        <w:rPr>
          <w:rFonts w:cs="Times New Roman"/>
        </w:rPr>
        <w:t>electronic bank transfer fee to your account</w:t>
      </w:r>
      <w:r w:rsidRPr="004A628E">
        <w:rPr>
          <w:rFonts w:cs="Times New Roman"/>
        </w:rPr>
        <w:tab/>
      </w:r>
      <w:r w:rsidR="004A628E" w:rsidRPr="004A628E">
        <w:rPr>
          <w:rFonts w:cs="Times New Roman"/>
        </w:rPr>
        <w:t>£16.00</w:t>
      </w:r>
      <w:r w:rsidR="004A628E" w:rsidRPr="004A628E">
        <w:rPr>
          <w:rFonts w:cs="Times New Roman"/>
        </w:rPr>
        <w:tab/>
        <w:t>£19.20</w:t>
      </w:r>
      <w:r w:rsidR="00100BF6">
        <w:rPr>
          <w:rFonts w:cs="Times New Roman"/>
        </w:rPr>
        <w:tab/>
      </w:r>
      <w:proofErr w:type="spellStart"/>
      <w:r w:rsidR="00100BF6">
        <w:rPr>
          <w:rFonts w:cs="Times New Roman"/>
        </w:rPr>
        <w:t>inc.</w:t>
      </w:r>
      <w:proofErr w:type="spellEnd"/>
      <w:r w:rsidR="00100BF6">
        <w:rPr>
          <w:rFonts w:cs="Times New Roman"/>
        </w:rPr>
        <w:t xml:space="preserve"> VAT</w:t>
      </w:r>
    </w:p>
    <w:p w:rsidR="00100BF6" w:rsidRDefault="00100BF6"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Admin Fee re Stamp Duty return online</w:t>
      </w:r>
      <w:r>
        <w:rPr>
          <w:rFonts w:cs="Times New Roman"/>
        </w:rPr>
        <w:tab/>
        <w:t>£50.00</w:t>
      </w:r>
      <w:r>
        <w:rPr>
          <w:rFonts w:cs="Times New Roman"/>
        </w:rPr>
        <w:tab/>
        <w:t>£60.00</w:t>
      </w:r>
      <w:r>
        <w:rPr>
          <w:rFonts w:cs="Times New Roman"/>
        </w:rPr>
        <w:tab/>
      </w:r>
      <w:proofErr w:type="spellStart"/>
      <w:r>
        <w:rPr>
          <w:rFonts w:cs="Times New Roman"/>
        </w:rPr>
        <w:t>inc.</w:t>
      </w:r>
      <w:proofErr w:type="spellEnd"/>
      <w:r>
        <w:rPr>
          <w:rFonts w:cs="Times New Roman"/>
        </w:rPr>
        <w:t xml:space="preserve"> VAT</w:t>
      </w:r>
    </w:p>
    <w:p w:rsidR="00100BF6" w:rsidRDefault="00100BF6"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Admin Fee re Land Registry application online</w:t>
      </w:r>
      <w:r>
        <w:rPr>
          <w:rFonts w:cs="Times New Roman"/>
        </w:rPr>
        <w:tab/>
        <w:t>£50.00</w:t>
      </w:r>
      <w:r>
        <w:rPr>
          <w:rFonts w:cs="Times New Roman"/>
        </w:rPr>
        <w:tab/>
        <w:t>£60.00</w:t>
      </w:r>
      <w:r>
        <w:rPr>
          <w:rFonts w:cs="Times New Roman"/>
        </w:rPr>
        <w:tab/>
      </w:r>
      <w:proofErr w:type="spellStart"/>
      <w:r>
        <w:rPr>
          <w:rFonts w:cs="Times New Roman"/>
        </w:rPr>
        <w:t>inc.</w:t>
      </w:r>
      <w:proofErr w:type="spellEnd"/>
      <w:r>
        <w:rPr>
          <w:rFonts w:cs="Times New Roman"/>
        </w:rPr>
        <w:t xml:space="preserve"> VAT</w:t>
      </w:r>
    </w:p>
    <w:p w:rsidR="00100BF6" w:rsidRPr="004A628E" w:rsidRDefault="00100BF6"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Our Professional Fees</w:t>
      </w:r>
      <w:r>
        <w:rPr>
          <w:rFonts w:cs="Times New Roman"/>
        </w:rPr>
        <w:tab/>
        <w:t>£650.00</w:t>
      </w:r>
      <w:r>
        <w:rPr>
          <w:rFonts w:cs="Times New Roman"/>
        </w:rPr>
        <w:tab/>
        <w:t>£780.00</w:t>
      </w:r>
      <w:r>
        <w:rPr>
          <w:rFonts w:cs="Times New Roman"/>
        </w:rPr>
        <w:tab/>
      </w:r>
      <w:proofErr w:type="spellStart"/>
      <w:r>
        <w:rPr>
          <w:rFonts w:cs="Times New Roman"/>
        </w:rPr>
        <w:t>inc.</w:t>
      </w:r>
      <w:proofErr w:type="spellEnd"/>
      <w:r>
        <w:rPr>
          <w:rFonts w:cs="Times New Roman"/>
        </w:rPr>
        <w:t xml:space="preserve"> VAT</w:t>
      </w:r>
    </w:p>
    <w:p w:rsidR="000C4597" w:rsidRPr="004A628E" w:rsidRDefault="000C4597"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b/>
        </w:rPr>
      </w:pPr>
      <w:r w:rsidRPr="004A628E">
        <w:rPr>
          <w:rFonts w:cs="Times New Roman"/>
          <w:b/>
        </w:rPr>
        <w:t>TOTAL SOLICITORS FEES &amp; COSTS</w:t>
      </w:r>
      <w:r w:rsidRPr="004A628E">
        <w:rPr>
          <w:rFonts w:cs="Times New Roman"/>
          <w:b/>
        </w:rPr>
        <w:tab/>
      </w:r>
      <w:r w:rsidRPr="004A628E">
        <w:rPr>
          <w:rFonts w:cs="Times New Roman"/>
          <w:b/>
        </w:rPr>
        <w:tab/>
        <w:t>£</w:t>
      </w:r>
      <w:r w:rsidR="004C3192">
        <w:rPr>
          <w:rFonts w:cs="Times New Roman"/>
          <w:b/>
        </w:rPr>
        <w:t>1411.20</w:t>
      </w:r>
      <w:r w:rsidR="004C3192">
        <w:rPr>
          <w:rFonts w:cs="Times New Roman"/>
          <w:b/>
        </w:rPr>
        <w:tab/>
      </w:r>
      <w:proofErr w:type="spellStart"/>
      <w:r w:rsidR="004C3192">
        <w:rPr>
          <w:rFonts w:cs="Times New Roman"/>
          <w:b/>
        </w:rPr>
        <w:t>inc.</w:t>
      </w:r>
      <w:proofErr w:type="spellEnd"/>
      <w:r w:rsidR="004C3192">
        <w:rPr>
          <w:rFonts w:cs="Times New Roman"/>
          <w:b/>
        </w:rPr>
        <w:t xml:space="preserve"> VAT</w:t>
      </w:r>
      <w:r w:rsidRPr="004A628E">
        <w:rPr>
          <w:rFonts w:cs="Times New Roman"/>
        </w:rPr>
        <w:tab/>
        <w:t xml:space="preserve"> </w:t>
      </w:r>
    </w:p>
    <w:p w:rsidR="00100BF6" w:rsidRDefault="004C3192"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Pr>
          <w:rFonts w:cs="Times New Roman"/>
        </w:rPr>
        <w:t>Stamp Duty Land Tax (in this example, 2%)</w:t>
      </w:r>
      <w:r>
        <w:rPr>
          <w:rFonts w:cs="Times New Roman"/>
        </w:rPr>
        <w:tab/>
      </w:r>
      <w:r>
        <w:rPr>
          <w:rFonts w:cs="Times New Roman"/>
        </w:rPr>
        <w:tab/>
        <w:t>£5,000.00</w:t>
      </w:r>
    </w:p>
    <w:p w:rsidR="000C4597" w:rsidRPr="004A628E" w:rsidRDefault="0004737E"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sidRPr="004A628E">
        <w:rPr>
          <w:rFonts w:cs="Times New Roman"/>
        </w:rPr>
        <w:t xml:space="preserve">Land Registry </w:t>
      </w:r>
      <w:r w:rsidR="004C3192">
        <w:rPr>
          <w:rFonts w:cs="Times New Roman"/>
        </w:rPr>
        <w:t>fee</w:t>
      </w:r>
      <w:r w:rsidR="000C4597" w:rsidRPr="004A628E">
        <w:rPr>
          <w:rFonts w:cs="Times New Roman"/>
        </w:rPr>
        <w:tab/>
      </w:r>
      <w:r w:rsidR="000C4597" w:rsidRPr="004C3192">
        <w:rPr>
          <w:rFonts w:cs="Times New Roman"/>
        </w:rPr>
        <w:t xml:space="preserve">   </w:t>
      </w:r>
      <w:r w:rsidRPr="004C3192">
        <w:rPr>
          <w:rFonts w:cs="Times New Roman"/>
        </w:rPr>
        <w:t xml:space="preserve">   </w:t>
      </w:r>
      <w:r w:rsidR="004C3192" w:rsidRPr="004C3192">
        <w:rPr>
          <w:rFonts w:cs="Times New Roman"/>
        </w:rPr>
        <w:tab/>
      </w:r>
      <w:r w:rsidR="000C4597" w:rsidRPr="004A628E">
        <w:rPr>
          <w:rFonts w:cs="Times New Roman"/>
          <w:u w:val="single"/>
        </w:rPr>
        <w:t>£</w:t>
      </w:r>
      <w:r w:rsidR="004C3192">
        <w:rPr>
          <w:rFonts w:cs="Times New Roman"/>
          <w:u w:val="single"/>
        </w:rPr>
        <w:t>135</w:t>
      </w:r>
      <w:r w:rsidR="000C4597" w:rsidRPr="004A628E">
        <w:rPr>
          <w:rFonts w:cs="Times New Roman"/>
          <w:u w:val="single"/>
        </w:rPr>
        <w:t>.00</w:t>
      </w:r>
      <w:r w:rsidR="000C4597" w:rsidRPr="004A628E">
        <w:rPr>
          <w:rFonts w:cs="Times New Roman"/>
        </w:rPr>
        <w:t xml:space="preserve"> </w:t>
      </w:r>
    </w:p>
    <w:p w:rsidR="000C4597" w:rsidRPr="004A628E" w:rsidRDefault="000C4597"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b/>
        </w:rPr>
      </w:pPr>
      <w:r w:rsidRPr="004A628E">
        <w:rPr>
          <w:rFonts w:cs="Times New Roman"/>
          <w:b/>
        </w:rPr>
        <w:t>ESTIMATED TOTAL (INCLUDING DISBURSEMENTS)</w:t>
      </w:r>
      <w:r w:rsidRPr="004A628E">
        <w:rPr>
          <w:rFonts w:cs="Times New Roman"/>
          <w:b/>
        </w:rPr>
        <w:tab/>
      </w:r>
      <w:r w:rsidRPr="004A628E">
        <w:rPr>
          <w:rFonts w:cs="Times New Roman"/>
          <w:b/>
        </w:rPr>
        <w:tab/>
      </w:r>
      <w:r w:rsidRPr="004A628E">
        <w:rPr>
          <w:rFonts w:cs="Times New Roman"/>
          <w:b/>
          <w:u w:val="double"/>
        </w:rPr>
        <w:t>£6,</w:t>
      </w:r>
      <w:r w:rsidR="004C3192">
        <w:rPr>
          <w:rFonts w:cs="Times New Roman"/>
          <w:b/>
          <w:u w:val="double"/>
        </w:rPr>
        <w:t>276.20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We reserve the ability to charge extra if the transaction becomes out of the ordinary and demands additional time to resolve any problems, these are not limited to but could </w:t>
      </w:r>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4C3192">
        <w:rPr>
          <w:rFonts w:cs="Times New Roman"/>
          <w:b/>
          <w:bCs/>
        </w:rPr>
        <w:t>PURCHASE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6B2291" w:rsidRPr="004A628E">
        <w:rPr>
          <w:rFonts w:ascii="Calibri" w:hAnsi="Calibri"/>
          <w:b/>
        </w:rPr>
        <w:t>PRESTWICH</w:t>
      </w:r>
      <w:r w:rsidRPr="004A628E">
        <w:rPr>
          <w:rFonts w:ascii="Calibri" w:hAnsi="Calibri"/>
          <w:b/>
        </w:rPr>
        <w:t xml:space="preserve"> OFFICE TODAY WITHOUT OBLIGATION:  </w:t>
      </w:r>
    </w:p>
    <w:p w:rsidR="00AB2E26" w:rsidRPr="004C3192" w:rsidRDefault="00AB2E26" w:rsidP="00AB2E26">
      <w:pPr>
        <w:spacing w:after="0" w:line="240" w:lineRule="auto"/>
        <w:jc w:val="both"/>
        <w:rPr>
          <w:rStyle w:val="Hyperlink"/>
          <w:rFonts w:ascii="Calibri" w:hAnsi="Calibri"/>
          <w:color w:val="0070C0"/>
        </w:rPr>
      </w:pPr>
      <w:r w:rsidRPr="004A628E">
        <w:rPr>
          <w:rFonts w:ascii="Calibri" w:hAnsi="Calibri"/>
        </w:rPr>
        <w:t>Either telephone us on 0161 7</w:t>
      </w:r>
      <w:r w:rsidR="00653306" w:rsidRPr="004A628E">
        <w:rPr>
          <w:rFonts w:ascii="Calibri" w:hAnsi="Calibri"/>
        </w:rPr>
        <w:t>73</w:t>
      </w:r>
      <w:r w:rsidRPr="004A628E">
        <w:rPr>
          <w:rFonts w:ascii="Calibri" w:hAnsi="Calibri"/>
        </w:rPr>
        <w:t xml:space="preserve"> </w:t>
      </w:r>
      <w:r w:rsidR="00653306" w:rsidRPr="004A628E">
        <w:rPr>
          <w:rFonts w:ascii="Calibri" w:hAnsi="Calibri"/>
        </w:rPr>
        <w:t>8626</w:t>
      </w:r>
      <w:r w:rsidRPr="004A628E">
        <w:rPr>
          <w:rFonts w:ascii="Calibri" w:hAnsi="Calibri"/>
        </w:rPr>
        <w:t xml:space="preserve"> or send an email to: </w:t>
      </w:r>
      <w:hyperlink r:id="rId8" w:history="1">
        <w:r w:rsidR="006B2291" w:rsidRPr="004C3192">
          <w:rPr>
            <w:rStyle w:val="Hyperlink"/>
            <w:rFonts w:ascii="Calibri" w:hAnsi="Calibri"/>
            <w:color w:val="0070C0"/>
          </w:rPr>
          <w:t>prestwich</w:t>
        </w:r>
        <w:r w:rsidR="00AD18AE" w:rsidRPr="004C3192">
          <w:rPr>
            <w:rStyle w:val="Hyperlink"/>
            <w:rFonts w:ascii="Calibri" w:hAnsi="Calibri"/>
            <w:color w:val="0070C0"/>
          </w:rPr>
          <w:t>conveyancing@glplaw.com</w:t>
        </w:r>
      </w:hyperlink>
    </w:p>
    <w:p w:rsidR="004C3192" w:rsidRPr="004A628E" w:rsidRDefault="004C3192" w:rsidP="00AB2E26">
      <w:pPr>
        <w:spacing w:after="0" w:line="240" w:lineRule="auto"/>
        <w:jc w:val="both"/>
        <w:rPr>
          <w:rFonts w:ascii="Calibri" w:hAnsi="Calibri"/>
        </w:rPr>
      </w:pPr>
    </w:p>
    <w:p w:rsidR="00AD18AE" w:rsidRPr="004A628E" w:rsidRDefault="00AD18AE" w:rsidP="00AB2E26">
      <w:pPr>
        <w:spacing w:after="0" w:line="240" w:lineRule="auto"/>
        <w:jc w:val="both"/>
        <w:rPr>
          <w:rFonts w:ascii="Calibri" w:hAnsi="Calibri"/>
        </w:rPr>
      </w:pPr>
    </w:p>
    <w:p w:rsidR="004A5826" w:rsidRPr="00F368F2" w:rsidRDefault="004A5826" w:rsidP="004A5826">
      <w:pPr>
        <w:spacing w:after="0" w:line="240" w:lineRule="auto"/>
        <w:jc w:val="both"/>
        <w:rPr>
          <w:rFonts w:ascii="Calibri" w:hAnsi="Calibri"/>
        </w:rPr>
      </w:pPr>
      <w:bookmarkStart w:id="0" w:name="_GoBack"/>
      <w:bookmarkEnd w:id="0"/>
      <w:r w:rsidRPr="00F40D9D">
        <w:rPr>
          <w:rFonts w:ascii="Calibri" w:hAnsi="Calibri"/>
          <w:b/>
        </w:rPr>
        <w:t>GLP (PRESTWICH)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now a branch office of the firm at </w:t>
      </w:r>
      <w:r w:rsidRPr="00F368F2">
        <w:rPr>
          <w:rFonts w:ascii="Calibri" w:hAnsi="Calibri"/>
        </w:rPr>
        <w:t>672 Bolton Road, Pendlebury M27 8FH</w:t>
      </w:r>
      <w:r>
        <w:rPr>
          <w:rFonts w:ascii="Calibri" w:hAnsi="Calibri"/>
        </w:rPr>
        <w:t>.  Since April 2021</w:t>
      </w:r>
      <w:r w:rsidR="00BE0940">
        <w:rPr>
          <w:rFonts w:ascii="Calibri" w:hAnsi="Calibri"/>
        </w:rPr>
        <w:t xml:space="preserve"> onwards</w:t>
      </w:r>
      <w:r>
        <w:rPr>
          <w:rFonts w:ascii="Calibri" w:hAnsi="Calibri"/>
        </w:rPr>
        <w:t xml:space="preserve">, all conveyancing </w:t>
      </w:r>
      <w:r w:rsidR="00BE0940">
        <w:rPr>
          <w:rFonts w:ascii="Calibri" w:hAnsi="Calibri"/>
        </w:rPr>
        <w:t xml:space="preserve">work </w:t>
      </w:r>
      <w:r>
        <w:rPr>
          <w:rFonts w:ascii="Calibri" w:hAnsi="Calibri"/>
        </w:rPr>
        <w:t xml:space="preserve">is undertaken at the Prestwich head office.   </w:t>
      </w:r>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605561" w:rsidP="00653306">
          <w:pPr>
            <w:pStyle w:val="Footer"/>
            <w:tabs>
              <w:tab w:val="left" w:pos="2535"/>
            </w:tabs>
          </w:pPr>
          <w:r w:rsidRPr="00477ACA">
            <w:rPr>
              <w:b/>
            </w:rPr>
            <w:t>GLP Solicitors (</w:t>
          </w:r>
          <w:r w:rsidR="006B2291">
            <w:rPr>
              <w:b/>
            </w:rPr>
            <w:t>Prestwich</w:t>
          </w:r>
          <w:r w:rsidRPr="00477ACA">
            <w:rPr>
              <w:b/>
            </w:rPr>
            <w:t>)</w:t>
          </w:r>
          <w:r w:rsidR="00AD0A14">
            <w:rPr>
              <w:b/>
            </w:rPr>
            <w:t xml:space="preserve"> LLP   </w:t>
          </w:r>
          <w:r>
            <w:tab/>
          </w:r>
          <w:r w:rsidR="00653306">
            <w:t>Portland Terrace, 9 Fairfax Road, P</w:t>
          </w:r>
          <w:r w:rsidR="006B2291">
            <w:t>restwich</w:t>
          </w:r>
          <w:r w:rsidR="00BA0166">
            <w:t>, Manchester M27 8FH</w:t>
          </w:r>
        </w:p>
      </w:tc>
      <w:tc>
        <w:tcPr>
          <w:tcW w:w="1672" w:type="dxa"/>
          <w:tcMar>
            <w:left w:w="0" w:type="dxa"/>
            <w:right w:w="0" w:type="dxa"/>
          </w:tcMar>
          <w:vAlign w:val="center"/>
        </w:tcPr>
        <w:p w:rsidR="00605561" w:rsidRDefault="00EA7D0E" w:rsidP="00AD18AE">
          <w:pPr>
            <w:pStyle w:val="Footer"/>
            <w:jc w:val="right"/>
          </w:pPr>
          <w:r>
            <w:t>August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B4B4A"/>
    <w:multiLevelType w:val="hybridMultilevel"/>
    <w:tmpl w:val="3A02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8"/>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7"/>
  </w:num>
  <w:num w:numId="13">
    <w:abstractNumId w:val="8"/>
  </w:num>
  <w:num w:numId="14">
    <w:abstractNumId w:val="2"/>
  </w:num>
  <w:num w:numId="15">
    <w:abstractNumId w:val="3"/>
  </w:num>
  <w:num w:numId="16">
    <w:abstractNumId w:val="4"/>
  </w:num>
  <w:num w:numId="17">
    <w:abstractNumId w:val="9"/>
  </w:num>
  <w:num w:numId="18">
    <w:abstractNumId w:val="19"/>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737E"/>
    <w:rsid w:val="000710FE"/>
    <w:rsid w:val="00073AD5"/>
    <w:rsid w:val="000C4597"/>
    <w:rsid w:val="00100BF6"/>
    <w:rsid w:val="001011CD"/>
    <w:rsid w:val="001064B4"/>
    <w:rsid w:val="00121729"/>
    <w:rsid w:val="001673CB"/>
    <w:rsid w:val="00176267"/>
    <w:rsid w:val="001A6979"/>
    <w:rsid w:val="001D57EA"/>
    <w:rsid w:val="002172C6"/>
    <w:rsid w:val="00253FE4"/>
    <w:rsid w:val="00263E40"/>
    <w:rsid w:val="00294402"/>
    <w:rsid w:val="002955C2"/>
    <w:rsid w:val="002D6FA6"/>
    <w:rsid w:val="00332E45"/>
    <w:rsid w:val="003769AA"/>
    <w:rsid w:val="00376FA5"/>
    <w:rsid w:val="003C57A2"/>
    <w:rsid w:val="003F09ED"/>
    <w:rsid w:val="0042442A"/>
    <w:rsid w:val="0042757D"/>
    <w:rsid w:val="004318EF"/>
    <w:rsid w:val="004344CD"/>
    <w:rsid w:val="00477ACA"/>
    <w:rsid w:val="004927C2"/>
    <w:rsid w:val="004A5826"/>
    <w:rsid w:val="004A628E"/>
    <w:rsid w:val="004C3192"/>
    <w:rsid w:val="00570173"/>
    <w:rsid w:val="005B5B05"/>
    <w:rsid w:val="005D2A86"/>
    <w:rsid w:val="005E58EA"/>
    <w:rsid w:val="006008D1"/>
    <w:rsid w:val="00605561"/>
    <w:rsid w:val="00646E8C"/>
    <w:rsid w:val="00653306"/>
    <w:rsid w:val="00670508"/>
    <w:rsid w:val="0067442D"/>
    <w:rsid w:val="006B2291"/>
    <w:rsid w:val="006C7747"/>
    <w:rsid w:val="006E1487"/>
    <w:rsid w:val="007C2B14"/>
    <w:rsid w:val="00840529"/>
    <w:rsid w:val="00856FB2"/>
    <w:rsid w:val="0086624C"/>
    <w:rsid w:val="008736BC"/>
    <w:rsid w:val="008C7B98"/>
    <w:rsid w:val="008F655C"/>
    <w:rsid w:val="00946B27"/>
    <w:rsid w:val="009532E5"/>
    <w:rsid w:val="00954B46"/>
    <w:rsid w:val="0097115E"/>
    <w:rsid w:val="00975603"/>
    <w:rsid w:val="00985B20"/>
    <w:rsid w:val="00994084"/>
    <w:rsid w:val="009A2412"/>
    <w:rsid w:val="009F5D46"/>
    <w:rsid w:val="00AA7D1B"/>
    <w:rsid w:val="00AB2E26"/>
    <w:rsid w:val="00AD0A14"/>
    <w:rsid w:val="00AD18AE"/>
    <w:rsid w:val="00B1618A"/>
    <w:rsid w:val="00B5110C"/>
    <w:rsid w:val="00B7202C"/>
    <w:rsid w:val="00B9758A"/>
    <w:rsid w:val="00BA0166"/>
    <w:rsid w:val="00BE0940"/>
    <w:rsid w:val="00CA2112"/>
    <w:rsid w:val="00CA6740"/>
    <w:rsid w:val="00CD3939"/>
    <w:rsid w:val="00CE1904"/>
    <w:rsid w:val="00D050B3"/>
    <w:rsid w:val="00DA10C5"/>
    <w:rsid w:val="00DC1B3E"/>
    <w:rsid w:val="00E42212"/>
    <w:rsid w:val="00E528D4"/>
    <w:rsid w:val="00E65378"/>
    <w:rsid w:val="00E70564"/>
    <w:rsid w:val="00E745FB"/>
    <w:rsid w:val="00E85D13"/>
    <w:rsid w:val="00EA0913"/>
    <w:rsid w:val="00EA2E81"/>
    <w:rsid w:val="00EA6236"/>
    <w:rsid w:val="00EA7D0E"/>
    <w:rsid w:val="00EA7F71"/>
    <w:rsid w:val="00F03B6A"/>
    <w:rsid w:val="00F200F9"/>
    <w:rsid w:val="00F33027"/>
    <w:rsid w:val="00F642D9"/>
    <w:rsid w:val="00F7444A"/>
    <w:rsid w:val="00FE0C1B"/>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F73"/>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00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C5BA-BF10-4848-B75F-D7A96B2E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4</cp:revision>
  <cp:lastPrinted>2022-08-19T09:12:00Z</cp:lastPrinted>
  <dcterms:created xsi:type="dcterms:W3CDTF">2023-08-17T10:10:00Z</dcterms:created>
  <dcterms:modified xsi:type="dcterms:W3CDTF">2023-08-17T14:04:00Z</dcterms:modified>
</cp:coreProperties>
</file>