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5DFF3" w14:textId="4854F9FE" w:rsidR="00787789" w:rsidRPr="006E30FB" w:rsidRDefault="005C420A" w:rsidP="005C42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E30FB">
        <w:rPr>
          <w:rFonts w:ascii="Arial" w:hAnsi="Arial" w:cs="Arial"/>
          <w:b/>
          <w:sz w:val="28"/>
          <w:szCs w:val="28"/>
        </w:rPr>
        <w:t xml:space="preserve">Costs and Service Information </w:t>
      </w:r>
    </w:p>
    <w:p w14:paraId="7F075BE3" w14:textId="585D12C4" w:rsidR="005C420A" w:rsidRPr="006E30FB" w:rsidRDefault="005C420A" w:rsidP="005C420A">
      <w:pPr>
        <w:spacing w:after="0" w:line="240" w:lineRule="auto"/>
        <w:jc w:val="center"/>
        <w:rPr>
          <w:rFonts w:ascii="Arial" w:hAnsi="Arial" w:cs="Arial"/>
          <w:b/>
        </w:rPr>
      </w:pPr>
    </w:p>
    <w:p w14:paraId="05A5DA6C" w14:textId="0E22ED7B" w:rsidR="005C420A" w:rsidRPr="006E30FB" w:rsidRDefault="00B1451F" w:rsidP="005C42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30FB">
        <w:rPr>
          <w:rFonts w:ascii="Arial" w:hAnsi="Arial" w:cs="Arial"/>
          <w:b/>
          <w:sz w:val="24"/>
          <w:szCs w:val="24"/>
        </w:rPr>
        <w:t>Employment claims for unfair or wrongful dismissal</w:t>
      </w:r>
    </w:p>
    <w:p w14:paraId="18DE9FD9" w14:textId="748B4FB0" w:rsidR="00B1451F" w:rsidRPr="006E30FB" w:rsidRDefault="00B1451F" w:rsidP="005C42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30FB">
        <w:rPr>
          <w:rFonts w:ascii="Arial" w:hAnsi="Arial" w:cs="Arial"/>
          <w:b/>
          <w:sz w:val="24"/>
          <w:szCs w:val="24"/>
        </w:rPr>
        <w:t xml:space="preserve">For </w:t>
      </w:r>
      <w:r w:rsidR="006E30FB">
        <w:rPr>
          <w:rFonts w:ascii="Arial" w:hAnsi="Arial" w:cs="Arial"/>
          <w:b/>
          <w:sz w:val="24"/>
          <w:szCs w:val="24"/>
        </w:rPr>
        <w:t>b</w:t>
      </w:r>
      <w:r w:rsidR="00726661" w:rsidRPr="006E30FB">
        <w:rPr>
          <w:rFonts w:ascii="Arial" w:hAnsi="Arial" w:cs="Arial"/>
          <w:b/>
          <w:sz w:val="24"/>
          <w:szCs w:val="24"/>
        </w:rPr>
        <w:t>usinesses</w:t>
      </w:r>
    </w:p>
    <w:p w14:paraId="6E24B1F7" w14:textId="10CC48EB" w:rsidR="005C420A" w:rsidRPr="006E30FB" w:rsidRDefault="005C420A" w:rsidP="005C42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162056" w14:textId="1A739710" w:rsidR="005C420A" w:rsidRDefault="005C420A" w:rsidP="005C420A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E30FB">
        <w:rPr>
          <w:rFonts w:ascii="Arial" w:hAnsi="Arial" w:cs="Arial"/>
          <w:b/>
          <w:sz w:val="24"/>
          <w:szCs w:val="24"/>
        </w:rPr>
        <w:t>Prices</w:t>
      </w:r>
      <w:r w:rsidR="00B1451F" w:rsidRPr="006E30FB">
        <w:rPr>
          <w:rFonts w:ascii="Arial" w:hAnsi="Arial" w:cs="Arial"/>
          <w:b/>
          <w:sz w:val="24"/>
          <w:szCs w:val="24"/>
        </w:rPr>
        <w:tab/>
      </w:r>
      <w:r w:rsidR="00B1451F" w:rsidRPr="006E30FB">
        <w:rPr>
          <w:rFonts w:ascii="Arial" w:hAnsi="Arial" w:cs="Arial"/>
          <w:b/>
          <w:sz w:val="24"/>
          <w:szCs w:val="24"/>
        </w:rPr>
        <w:tab/>
      </w:r>
    </w:p>
    <w:p w14:paraId="5E428A02" w14:textId="39B5662A" w:rsidR="006E30FB" w:rsidRDefault="006E30FB" w:rsidP="005C420A">
      <w:pPr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p w14:paraId="2CA28AE5" w14:textId="77777777" w:rsidR="006E30FB" w:rsidRDefault="006E30FB" w:rsidP="006E30FB">
      <w:pPr>
        <w:spacing w:after="0" w:line="240" w:lineRule="auto"/>
        <w:jc w:val="both"/>
        <w:rPr>
          <w:rFonts w:ascii="Arial" w:hAnsi="Arial" w:cs="Arial"/>
          <w:bCs/>
        </w:rPr>
      </w:pPr>
      <w:r w:rsidRPr="009A53D1">
        <w:rPr>
          <w:rFonts w:ascii="Arial" w:hAnsi="Arial" w:cs="Arial"/>
          <w:bCs/>
        </w:rPr>
        <w:t>Please note that there will be two elements to the prices as set out below:</w:t>
      </w:r>
    </w:p>
    <w:p w14:paraId="72B730C8" w14:textId="77777777" w:rsidR="006E30FB" w:rsidRPr="009A53D1" w:rsidRDefault="006E30FB" w:rsidP="006E30FB">
      <w:pPr>
        <w:spacing w:after="0" w:line="240" w:lineRule="auto"/>
        <w:jc w:val="both"/>
        <w:rPr>
          <w:rFonts w:ascii="Arial" w:hAnsi="Arial" w:cs="Arial"/>
          <w:bCs/>
        </w:rPr>
      </w:pPr>
    </w:p>
    <w:p w14:paraId="78D74E55" w14:textId="0B0AB4FA" w:rsidR="006E30FB" w:rsidRPr="009A53D1" w:rsidRDefault="006E30FB" w:rsidP="006E30F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9A53D1">
        <w:rPr>
          <w:rFonts w:ascii="Arial" w:hAnsi="Arial" w:cs="Arial"/>
          <w:bCs/>
        </w:rPr>
        <w:t xml:space="preserve">Fees charged by </w:t>
      </w:r>
      <w:r w:rsidR="00B54487" w:rsidRPr="00B54487">
        <w:rPr>
          <w:rFonts w:ascii="Arial" w:hAnsi="Arial" w:cs="Arial"/>
          <w:b/>
        </w:rPr>
        <w:t>GLP Solicitors</w:t>
      </w:r>
      <w:r w:rsidRPr="00B54487">
        <w:rPr>
          <w:rFonts w:ascii="Arial" w:hAnsi="Arial" w:cs="Arial"/>
          <w:bCs/>
        </w:rPr>
        <w:t>; and</w:t>
      </w:r>
      <w:r w:rsidRPr="009A53D1">
        <w:rPr>
          <w:rFonts w:ascii="Arial" w:hAnsi="Arial" w:cs="Arial"/>
          <w:bCs/>
        </w:rPr>
        <w:t xml:space="preserve"> </w:t>
      </w:r>
    </w:p>
    <w:p w14:paraId="76E4FF72" w14:textId="77777777" w:rsidR="006E30FB" w:rsidRPr="009A53D1" w:rsidRDefault="006E30FB" w:rsidP="006E30F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</w:rPr>
      </w:pPr>
      <w:r w:rsidRPr="009A53D1">
        <w:rPr>
          <w:rFonts w:ascii="Arial" w:hAnsi="Arial" w:cs="Arial"/>
          <w:bCs/>
        </w:rPr>
        <w:t xml:space="preserve">Fees payable to </w:t>
      </w:r>
      <w:r w:rsidRPr="009A53D1">
        <w:rPr>
          <w:rFonts w:ascii="Arial" w:hAnsi="Arial" w:cs="Arial"/>
          <w:b/>
          <w:color w:val="FF0000"/>
        </w:rPr>
        <w:t>third parties</w:t>
      </w:r>
      <w:r w:rsidRPr="009A53D1">
        <w:rPr>
          <w:rFonts w:ascii="Arial" w:hAnsi="Arial" w:cs="Arial"/>
          <w:bCs/>
        </w:rPr>
        <w:t>.</w:t>
      </w:r>
    </w:p>
    <w:p w14:paraId="4A28C042" w14:textId="77777777" w:rsidR="006E30FB" w:rsidRDefault="006E30FB" w:rsidP="006E30FB">
      <w:pPr>
        <w:spacing w:after="0" w:line="240" w:lineRule="auto"/>
        <w:jc w:val="both"/>
        <w:rPr>
          <w:rFonts w:ascii="Arial" w:hAnsi="Arial" w:cs="Arial"/>
          <w:bCs/>
        </w:rPr>
      </w:pPr>
    </w:p>
    <w:p w14:paraId="186489F5" w14:textId="77777777" w:rsidR="006E30FB" w:rsidRPr="009A53D1" w:rsidRDefault="006E30FB" w:rsidP="006E30FB">
      <w:pPr>
        <w:spacing w:after="0" w:line="240" w:lineRule="auto"/>
        <w:jc w:val="both"/>
        <w:rPr>
          <w:rFonts w:ascii="Arial" w:hAnsi="Arial" w:cs="Arial"/>
          <w:bCs/>
        </w:rPr>
      </w:pPr>
      <w:r w:rsidRPr="009A53D1">
        <w:rPr>
          <w:rFonts w:ascii="Arial" w:hAnsi="Arial" w:cs="Arial"/>
          <w:bCs/>
        </w:rPr>
        <w:t>Please ensure that you consider both parts of the price information.</w:t>
      </w:r>
    </w:p>
    <w:p w14:paraId="640D37A5" w14:textId="77777777" w:rsidR="006E30FB" w:rsidRPr="009A53D1" w:rsidRDefault="006E30FB" w:rsidP="006E30FB">
      <w:pPr>
        <w:spacing w:after="0" w:line="240" w:lineRule="auto"/>
        <w:jc w:val="both"/>
        <w:rPr>
          <w:rFonts w:ascii="Arial" w:hAnsi="Arial" w:cs="Arial"/>
          <w:bCs/>
        </w:rPr>
      </w:pPr>
    </w:p>
    <w:p w14:paraId="6A1CA542" w14:textId="77777777" w:rsidR="006E30FB" w:rsidRDefault="006E30FB" w:rsidP="006E30FB">
      <w:pPr>
        <w:spacing w:after="0" w:line="240" w:lineRule="auto"/>
        <w:jc w:val="both"/>
        <w:rPr>
          <w:rFonts w:ascii="Arial" w:hAnsi="Arial" w:cs="Arial"/>
          <w:bCs/>
        </w:rPr>
      </w:pPr>
    </w:p>
    <w:p w14:paraId="67FCB987" w14:textId="313F34E7" w:rsidR="006E30FB" w:rsidRDefault="006E30FB" w:rsidP="006E30FB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  <w:r w:rsidRPr="00A35BF8">
        <w:rPr>
          <w:rFonts w:ascii="Arial" w:hAnsi="Arial" w:cs="Arial"/>
          <w:b/>
        </w:rPr>
        <w:t xml:space="preserve">Fees charged </w:t>
      </w:r>
      <w:r w:rsidRPr="00B54487">
        <w:rPr>
          <w:rFonts w:ascii="Arial" w:hAnsi="Arial" w:cs="Arial"/>
          <w:b/>
        </w:rPr>
        <w:t>by</w:t>
      </w:r>
      <w:r w:rsidRPr="00B54487">
        <w:rPr>
          <w:rFonts w:ascii="Arial" w:hAnsi="Arial" w:cs="Arial"/>
          <w:bCs/>
        </w:rPr>
        <w:t xml:space="preserve"> </w:t>
      </w:r>
      <w:r w:rsidR="00B54487" w:rsidRPr="00B54487">
        <w:rPr>
          <w:rFonts w:ascii="Arial" w:hAnsi="Arial" w:cs="Arial"/>
          <w:b/>
        </w:rPr>
        <w:t>GLP Solicitors</w:t>
      </w:r>
    </w:p>
    <w:p w14:paraId="3F7804C5" w14:textId="7A5BBFB2" w:rsidR="00DA3EDA" w:rsidRDefault="00DA3EDA" w:rsidP="006E30FB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397"/>
        <w:gridCol w:w="2694"/>
        <w:gridCol w:w="2976"/>
      </w:tblGrid>
      <w:tr w:rsidR="00DA3EDA" w14:paraId="52985FA7" w14:textId="77777777" w:rsidTr="004D3180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B1DD294" w14:textId="0544A822" w:rsidR="00DA3EDA" w:rsidRPr="00DA3EDA" w:rsidRDefault="00DA3EDA" w:rsidP="00DA3ED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Case type</w:t>
            </w:r>
          </w:p>
        </w:tc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D5B7371" w14:textId="3A47448E" w:rsidR="00DA3EDA" w:rsidRPr="00DA3EDA" w:rsidRDefault="00DA3EDA" w:rsidP="00DA3ED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3EDA">
              <w:rPr>
                <w:rFonts w:ascii="Arial" w:hAnsi="Arial" w:cs="Arial"/>
                <w:b/>
                <w:color w:val="FFFFFF" w:themeColor="background1"/>
              </w:rPr>
              <w:t>Legal fee*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292A5D0" w14:textId="77777777" w:rsidR="00DA3EDA" w:rsidRPr="00DA3EDA" w:rsidRDefault="00DA3EDA" w:rsidP="00DA3ED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3EDA">
              <w:rPr>
                <w:rFonts w:ascii="Arial" w:hAnsi="Arial" w:cs="Arial"/>
                <w:b/>
                <w:color w:val="FFFFFF" w:themeColor="background1"/>
              </w:rPr>
              <w:t>VAT</w:t>
            </w:r>
          </w:p>
          <w:p w14:paraId="08686E7A" w14:textId="7EF0200F" w:rsidR="00DA3EDA" w:rsidRPr="00DA3EDA" w:rsidRDefault="00DA3EDA" w:rsidP="00DA3ED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3EDA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(charged at 20%)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962E92E" w14:textId="4CAFC129" w:rsidR="00DA3EDA" w:rsidRPr="00DA3EDA" w:rsidRDefault="00DA3EDA" w:rsidP="00DA3EDA">
            <w:pPr>
              <w:jc w:val="center"/>
              <w:rPr>
                <w:rFonts w:ascii="Arial" w:hAnsi="Arial" w:cs="Arial"/>
                <w:b/>
                <w:color w:val="FFFFFF" w:themeColor="background1"/>
                <w:highlight w:val="yellow"/>
              </w:rPr>
            </w:pPr>
            <w:r w:rsidRPr="00DA3EDA">
              <w:rPr>
                <w:rFonts w:ascii="Arial" w:hAnsi="Arial" w:cs="Arial"/>
                <w:b/>
                <w:color w:val="FFFFFF" w:themeColor="background1"/>
              </w:rPr>
              <w:t>TOTAL</w:t>
            </w:r>
          </w:p>
        </w:tc>
      </w:tr>
      <w:tr w:rsidR="00F95B6B" w14:paraId="31C304CF" w14:textId="77777777" w:rsidTr="004D3180">
        <w:tc>
          <w:tcPr>
            <w:tcW w:w="3397" w:type="dxa"/>
            <w:tcBorders>
              <w:top w:val="single" w:sz="4" w:space="0" w:color="FFFFFF" w:themeColor="background1"/>
            </w:tcBorders>
          </w:tcPr>
          <w:p w14:paraId="65B1E09C" w14:textId="79D49260" w:rsidR="00F95B6B" w:rsidRPr="00DD6750" w:rsidRDefault="00F95B6B" w:rsidP="00F95B6B">
            <w:pPr>
              <w:jc w:val="both"/>
              <w:rPr>
                <w:rFonts w:ascii="Arial" w:hAnsi="Arial" w:cs="Arial"/>
                <w:bCs/>
              </w:rPr>
            </w:pPr>
            <w:r w:rsidRPr="00DD6750">
              <w:rPr>
                <w:rFonts w:ascii="Arial" w:hAnsi="Arial" w:cs="Arial"/>
                <w:bCs/>
              </w:rPr>
              <w:t>Simple case</w:t>
            </w:r>
          </w:p>
        </w:tc>
        <w:tc>
          <w:tcPr>
            <w:tcW w:w="3397" w:type="dxa"/>
            <w:tcBorders>
              <w:top w:val="single" w:sz="4" w:space="0" w:color="FFFFFF" w:themeColor="background1"/>
            </w:tcBorders>
          </w:tcPr>
          <w:p w14:paraId="763F909F" w14:textId="0BEC586D" w:rsidR="00F95B6B" w:rsidRPr="00DD6750" w:rsidRDefault="00F95B6B" w:rsidP="00F95B6B">
            <w:pPr>
              <w:jc w:val="center"/>
              <w:rPr>
                <w:rFonts w:ascii="Arial" w:hAnsi="Arial" w:cs="Arial"/>
                <w:bCs/>
              </w:rPr>
            </w:pPr>
            <w:r w:rsidRPr="00DD6750">
              <w:rPr>
                <w:rFonts w:ascii="Arial" w:hAnsi="Arial" w:cs="Arial"/>
                <w:bCs/>
              </w:rPr>
              <w:t>£3,000 - £4,000</w:t>
            </w:r>
          </w:p>
        </w:tc>
        <w:tc>
          <w:tcPr>
            <w:tcW w:w="2694" w:type="dxa"/>
            <w:tcBorders>
              <w:top w:val="single" w:sz="4" w:space="0" w:color="FFFFFF" w:themeColor="background1"/>
            </w:tcBorders>
          </w:tcPr>
          <w:p w14:paraId="7F9C137A" w14:textId="48B6E254" w:rsidR="00F95B6B" w:rsidRPr="00DD6750" w:rsidRDefault="00F95B6B" w:rsidP="00F95B6B">
            <w:pPr>
              <w:jc w:val="center"/>
              <w:rPr>
                <w:rFonts w:ascii="Arial" w:hAnsi="Arial" w:cs="Arial"/>
                <w:bCs/>
              </w:rPr>
            </w:pPr>
            <w:r w:rsidRPr="00DD6750">
              <w:rPr>
                <w:rFonts w:ascii="Arial" w:hAnsi="Arial" w:cs="Arial"/>
                <w:bCs/>
              </w:rPr>
              <w:t>£600 - £800</w:t>
            </w:r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</w:tcPr>
          <w:p w14:paraId="21A428EE" w14:textId="74B4535D" w:rsidR="00F95B6B" w:rsidRPr="00DD6750" w:rsidRDefault="00F95B6B" w:rsidP="00F95B6B">
            <w:pPr>
              <w:jc w:val="center"/>
              <w:rPr>
                <w:rFonts w:ascii="Arial" w:hAnsi="Arial" w:cs="Arial"/>
                <w:bCs/>
              </w:rPr>
            </w:pPr>
            <w:r w:rsidRPr="00DD6750">
              <w:rPr>
                <w:rFonts w:ascii="Arial" w:hAnsi="Arial" w:cs="Arial"/>
                <w:bCs/>
              </w:rPr>
              <w:t>£3,600 - £4,800</w:t>
            </w:r>
          </w:p>
        </w:tc>
      </w:tr>
      <w:tr w:rsidR="00F95B6B" w14:paraId="250E0A52" w14:textId="77777777" w:rsidTr="004D3180">
        <w:tc>
          <w:tcPr>
            <w:tcW w:w="3397" w:type="dxa"/>
            <w:tcBorders>
              <w:top w:val="single" w:sz="4" w:space="0" w:color="FFFFFF" w:themeColor="background1"/>
            </w:tcBorders>
          </w:tcPr>
          <w:p w14:paraId="1474CF27" w14:textId="24712CBA" w:rsidR="00F95B6B" w:rsidRPr="00DD6750" w:rsidRDefault="00F95B6B" w:rsidP="00F95B6B">
            <w:pPr>
              <w:jc w:val="both"/>
              <w:rPr>
                <w:rFonts w:ascii="Arial" w:hAnsi="Arial" w:cs="Arial"/>
                <w:bCs/>
              </w:rPr>
            </w:pPr>
            <w:r w:rsidRPr="00DD6750">
              <w:rPr>
                <w:rFonts w:ascii="Arial" w:hAnsi="Arial" w:cs="Arial"/>
                <w:bCs/>
              </w:rPr>
              <w:t>Medium complexity case</w:t>
            </w:r>
          </w:p>
        </w:tc>
        <w:tc>
          <w:tcPr>
            <w:tcW w:w="3397" w:type="dxa"/>
            <w:tcBorders>
              <w:top w:val="single" w:sz="4" w:space="0" w:color="FFFFFF" w:themeColor="background1"/>
            </w:tcBorders>
          </w:tcPr>
          <w:p w14:paraId="603BCF6D" w14:textId="7F6B14B5" w:rsidR="00F95B6B" w:rsidRPr="00DD6750" w:rsidRDefault="00F95B6B" w:rsidP="00F95B6B">
            <w:pPr>
              <w:jc w:val="center"/>
              <w:rPr>
                <w:rFonts w:ascii="Arial" w:hAnsi="Arial" w:cs="Arial"/>
                <w:bCs/>
              </w:rPr>
            </w:pPr>
            <w:r w:rsidRPr="00DD6750">
              <w:rPr>
                <w:rFonts w:ascii="Arial" w:hAnsi="Arial" w:cs="Arial"/>
                <w:bCs/>
              </w:rPr>
              <w:t>£4,000 - £5,750</w:t>
            </w:r>
          </w:p>
        </w:tc>
        <w:tc>
          <w:tcPr>
            <w:tcW w:w="2694" w:type="dxa"/>
            <w:tcBorders>
              <w:top w:val="single" w:sz="4" w:space="0" w:color="FFFFFF" w:themeColor="background1"/>
            </w:tcBorders>
          </w:tcPr>
          <w:p w14:paraId="719174A4" w14:textId="6F1F033D" w:rsidR="00F95B6B" w:rsidRPr="00DD6750" w:rsidRDefault="00F95B6B" w:rsidP="00F95B6B">
            <w:pPr>
              <w:jc w:val="center"/>
              <w:rPr>
                <w:rFonts w:ascii="Arial" w:hAnsi="Arial" w:cs="Arial"/>
                <w:bCs/>
              </w:rPr>
            </w:pPr>
            <w:r w:rsidRPr="00DD6750">
              <w:rPr>
                <w:rFonts w:ascii="Arial" w:hAnsi="Arial" w:cs="Arial"/>
                <w:bCs/>
              </w:rPr>
              <w:t>£800 - £1150</w:t>
            </w:r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</w:tcPr>
          <w:p w14:paraId="7434B4EE" w14:textId="1A596FC7" w:rsidR="00F95B6B" w:rsidRPr="00DD6750" w:rsidRDefault="00F95B6B" w:rsidP="00F95B6B">
            <w:pPr>
              <w:jc w:val="center"/>
              <w:rPr>
                <w:rFonts w:ascii="Arial" w:hAnsi="Arial" w:cs="Arial"/>
                <w:bCs/>
              </w:rPr>
            </w:pPr>
            <w:r w:rsidRPr="00DD6750">
              <w:rPr>
                <w:rFonts w:ascii="Arial" w:hAnsi="Arial" w:cs="Arial"/>
                <w:bCs/>
              </w:rPr>
              <w:t>£4,800 - £6,900</w:t>
            </w:r>
          </w:p>
        </w:tc>
      </w:tr>
      <w:tr w:rsidR="00F95B6B" w14:paraId="17ECB2C9" w14:textId="77777777" w:rsidTr="004D3180">
        <w:tc>
          <w:tcPr>
            <w:tcW w:w="3397" w:type="dxa"/>
            <w:tcBorders>
              <w:top w:val="single" w:sz="4" w:space="0" w:color="FFFFFF" w:themeColor="background1"/>
            </w:tcBorders>
          </w:tcPr>
          <w:p w14:paraId="071C07DD" w14:textId="52E75F55" w:rsidR="00F95B6B" w:rsidRPr="00DD6750" w:rsidRDefault="00F95B6B" w:rsidP="00F95B6B">
            <w:pPr>
              <w:jc w:val="both"/>
              <w:rPr>
                <w:rFonts w:ascii="Arial" w:hAnsi="Arial" w:cs="Arial"/>
                <w:bCs/>
              </w:rPr>
            </w:pPr>
            <w:r w:rsidRPr="00DD6750">
              <w:rPr>
                <w:rFonts w:ascii="Arial" w:hAnsi="Arial" w:cs="Arial"/>
                <w:bCs/>
              </w:rPr>
              <w:t>High complexity case</w:t>
            </w:r>
          </w:p>
        </w:tc>
        <w:tc>
          <w:tcPr>
            <w:tcW w:w="3397" w:type="dxa"/>
            <w:tcBorders>
              <w:top w:val="single" w:sz="4" w:space="0" w:color="FFFFFF" w:themeColor="background1"/>
            </w:tcBorders>
          </w:tcPr>
          <w:p w14:paraId="5966569E" w14:textId="083CC843" w:rsidR="00F95B6B" w:rsidRPr="00DD6750" w:rsidRDefault="00F95B6B" w:rsidP="00F95B6B">
            <w:pPr>
              <w:jc w:val="center"/>
              <w:rPr>
                <w:rFonts w:ascii="Arial" w:hAnsi="Arial" w:cs="Arial"/>
                <w:bCs/>
              </w:rPr>
            </w:pPr>
            <w:r w:rsidRPr="00DD6750">
              <w:rPr>
                <w:rFonts w:ascii="Arial" w:hAnsi="Arial" w:cs="Arial"/>
                <w:bCs/>
              </w:rPr>
              <w:t>£5,751 - £7,500</w:t>
            </w:r>
          </w:p>
        </w:tc>
        <w:tc>
          <w:tcPr>
            <w:tcW w:w="2694" w:type="dxa"/>
            <w:tcBorders>
              <w:top w:val="single" w:sz="4" w:space="0" w:color="FFFFFF" w:themeColor="background1"/>
            </w:tcBorders>
          </w:tcPr>
          <w:p w14:paraId="4615C11E" w14:textId="6336C514" w:rsidR="00F95B6B" w:rsidRPr="00DD6750" w:rsidRDefault="00F95B6B" w:rsidP="00F95B6B">
            <w:pPr>
              <w:jc w:val="center"/>
              <w:rPr>
                <w:rFonts w:ascii="Arial" w:hAnsi="Arial" w:cs="Arial"/>
                <w:bCs/>
              </w:rPr>
            </w:pPr>
            <w:r w:rsidRPr="00DD6750">
              <w:rPr>
                <w:rFonts w:ascii="Arial" w:hAnsi="Arial" w:cs="Arial"/>
                <w:bCs/>
              </w:rPr>
              <w:t>£1149 - £1,500</w:t>
            </w:r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</w:tcPr>
          <w:p w14:paraId="4B9E6DF2" w14:textId="1B0A1904" w:rsidR="00F95B6B" w:rsidRPr="00DD6750" w:rsidRDefault="00F95B6B" w:rsidP="00F95B6B">
            <w:pPr>
              <w:jc w:val="center"/>
              <w:rPr>
                <w:rFonts w:ascii="Arial" w:hAnsi="Arial" w:cs="Arial"/>
                <w:bCs/>
              </w:rPr>
            </w:pPr>
            <w:r w:rsidRPr="00DD6750">
              <w:rPr>
                <w:rFonts w:ascii="Arial" w:hAnsi="Arial" w:cs="Arial"/>
                <w:bCs/>
              </w:rPr>
              <w:t>£6,900 - £9,000</w:t>
            </w:r>
          </w:p>
        </w:tc>
      </w:tr>
      <w:tr w:rsidR="00DA3EDA" w14:paraId="078D62D9" w14:textId="77777777" w:rsidTr="00551AEF">
        <w:tc>
          <w:tcPr>
            <w:tcW w:w="12464" w:type="dxa"/>
            <w:gridSpan w:val="4"/>
          </w:tcPr>
          <w:p w14:paraId="634A796B" w14:textId="77777777" w:rsidR="00F95B6B" w:rsidRPr="00F95B6B" w:rsidRDefault="00F95B6B" w:rsidP="00F95B6B">
            <w:pPr>
              <w:jc w:val="both"/>
              <w:rPr>
                <w:rFonts w:ascii="Arial" w:hAnsi="Arial" w:cs="Arial"/>
                <w:bCs/>
              </w:rPr>
            </w:pPr>
            <w:r w:rsidRPr="00F95B6B">
              <w:rPr>
                <w:rFonts w:ascii="Arial" w:hAnsi="Arial" w:cs="Arial"/>
                <w:bCs/>
              </w:rPr>
              <w:t xml:space="preserve">* basis of charging = average hourly rate of £241. Hourly rates for fee earners in our debt recovery team are set out in the ‘Qualifications and experience of our team’ section below. </w:t>
            </w:r>
          </w:p>
          <w:p w14:paraId="3B20F3F5" w14:textId="77777777" w:rsidR="00F95B6B" w:rsidRPr="00DD6750" w:rsidRDefault="00F95B6B" w:rsidP="00F95B6B">
            <w:pPr>
              <w:jc w:val="both"/>
              <w:rPr>
                <w:rFonts w:ascii="Arial" w:hAnsi="Arial" w:cs="Arial"/>
                <w:bCs/>
              </w:rPr>
            </w:pPr>
            <w:r w:rsidRPr="00DD6750">
              <w:rPr>
                <w:rFonts w:ascii="Arial" w:hAnsi="Arial" w:cs="Arial"/>
                <w:bCs/>
              </w:rPr>
              <w:t>Based on 13 – 17 numbers of hours to complete the work for a simple case.</w:t>
            </w:r>
          </w:p>
          <w:p w14:paraId="7A3BE208" w14:textId="77777777" w:rsidR="00F95B6B" w:rsidRPr="00DD6750" w:rsidRDefault="00F95B6B" w:rsidP="00F95B6B">
            <w:pPr>
              <w:jc w:val="both"/>
              <w:rPr>
                <w:rFonts w:ascii="Arial" w:hAnsi="Arial" w:cs="Arial"/>
                <w:bCs/>
              </w:rPr>
            </w:pPr>
            <w:r w:rsidRPr="00DD6750">
              <w:rPr>
                <w:rFonts w:ascii="Arial" w:hAnsi="Arial" w:cs="Arial"/>
                <w:bCs/>
              </w:rPr>
              <w:t>Based on 17 – 24 numbers of hours to complete the work for a medium complexity case.</w:t>
            </w:r>
          </w:p>
          <w:p w14:paraId="3136349E" w14:textId="665B398D" w:rsidR="00F30D3B" w:rsidRPr="00DA3EDA" w:rsidRDefault="00F95B6B" w:rsidP="00F95B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6750">
              <w:rPr>
                <w:rFonts w:ascii="Arial" w:hAnsi="Arial" w:cs="Arial"/>
                <w:bCs/>
              </w:rPr>
              <w:t>Based on 24 – 32 numbers</w:t>
            </w:r>
            <w:r w:rsidRPr="00F95B6B">
              <w:rPr>
                <w:rFonts w:ascii="Arial" w:hAnsi="Arial" w:cs="Arial"/>
                <w:bCs/>
              </w:rPr>
              <w:t xml:space="preserve"> of hours to complete the work for a high complexity case.</w:t>
            </w:r>
          </w:p>
        </w:tc>
      </w:tr>
    </w:tbl>
    <w:p w14:paraId="2CD61078" w14:textId="77777777" w:rsidR="00DA3EDA" w:rsidRPr="009A53D1" w:rsidRDefault="00DA3EDA" w:rsidP="006E30FB">
      <w:pPr>
        <w:spacing w:after="0" w:line="240" w:lineRule="auto"/>
        <w:jc w:val="both"/>
        <w:rPr>
          <w:rFonts w:ascii="Arial" w:hAnsi="Arial" w:cs="Arial"/>
          <w:bCs/>
          <w:highlight w:val="yellow"/>
        </w:rPr>
      </w:pPr>
    </w:p>
    <w:p w14:paraId="1B9A6F82" w14:textId="0681A41F" w:rsidR="00DA3EDA" w:rsidRPr="00DA3EDA" w:rsidRDefault="00DA3EDA" w:rsidP="00DA3EDA">
      <w:pPr>
        <w:spacing w:after="0" w:line="240" w:lineRule="auto"/>
        <w:jc w:val="both"/>
        <w:rPr>
          <w:rFonts w:ascii="Arial" w:hAnsi="Arial" w:cs="Arial"/>
          <w:b/>
        </w:rPr>
      </w:pPr>
      <w:r w:rsidRPr="00DA3EDA">
        <w:rPr>
          <w:rFonts w:ascii="Arial" w:hAnsi="Arial" w:cs="Arial"/>
          <w:b/>
        </w:rPr>
        <w:lastRenderedPageBreak/>
        <w:t xml:space="preserve">Factors that affect the complexity of </w:t>
      </w:r>
      <w:r w:rsidR="00FC7BCE">
        <w:rPr>
          <w:rFonts w:ascii="Arial" w:hAnsi="Arial" w:cs="Arial"/>
          <w:b/>
        </w:rPr>
        <w:t xml:space="preserve">a </w:t>
      </w:r>
      <w:r w:rsidRPr="00DA3EDA">
        <w:rPr>
          <w:rFonts w:ascii="Arial" w:hAnsi="Arial" w:cs="Arial"/>
          <w:b/>
        </w:rPr>
        <w:t>case:</w:t>
      </w:r>
    </w:p>
    <w:p w14:paraId="0EB49F27" w14:textId="77777777" w:rsidR="00DA3EDA" w:rsidRPr="00DA3EDA" w:rsidRDefault="00DA3EDA" w:rsidP="00DA3EDA">
      <w:pPr>
        <w:spacing w:after="0" w:line="240" w:lineRule="auto"/>
        <w:jc w:val="both"/>
        <w:rPr>
          <w:rFonts w:ascii="Arial" w:hAnsi="Arial" w:cs="Arial"/>
          <w:b/>
        </w:rPr>
      </w:pPr>
    </w:p>
    <w:p w14:paraId="424A553D" w14:textId="5A14A0BE" w:rsidR="00DA3EDA" w:rsidRPr="00DA3EDA" w:rsidRDefault="00DA3EDA" w:rsidP="00DA3E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DA3EDA">
        <w:rPr>
          <w:rFonts w:ascii="Arial" w:hAnsi="Arial" w:cs="Arial"/>
          <w:bCs/>
        </w:rPr>
        <w:t>If it is necessary to make or defend applications to amend claims or to provide further information about an existing claim</w:t>
      </w:r>
      <w:r w:rsidR="00084448">
        <w:rPr>
          <w:rFonts w:ascii="Arial" w:hAnsi="Arial" w:cs="Arial"/>
          <w:bCs/>
        </w:rPr>
        <w:t>.</w:t>
      </w:r>
    </w:p>
    <w:p w14:paraId="38B4D63C" w14:textId="646785F8" w:rsidR="00DA3EDA" w:rsidRPr="00DA3EDA" w:rsidRDefault="00DA3EDA" w:rsidP="00DA3E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DA3EDA">
        <w:rPr>
          <w:rFonts w:ascii="Arial" w:hAnsi="Arial" w:cs="Arial"/>
          <w:bCs/>
        </w:rPr>
        <w:t>Defending claims that are brought by litigants in person</w:t>
      </w:r>
      <w:r w:rsidR="00084448">
        <w:rPr>
          <w:rFonts w:ascii="Arial" w:hAnsi="Arial" w:cs="Arial"/>
          <w:bCs/>
        </w:rPr>
        <w:t>.</w:t>
      </w:r>
    </w:p>
    <w:p w14:paraId="0C8B83CE" w14:textId="728B58FA" w:rsidR="00DA3EDA" w:rsidRPr="00DA3EDA" w:rsidRDefault="00DA3EDA" w:rsidP="00DA3E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DA3EDA">
        <w:rPr>
          <w:rFonts w:ascii="Arial" w:hAnsi="Arial" w:cs="Arial"/>
          <w:bCs/>
        </w:rPr>
        <w:t>Making or defending a costs application</w:t>
      </w:r>
      <w:r w:rsidR="00084448">
        <w:rPr>
          <w:rFonts w:ascii="Arial" w:hAnsi="Arial" w:cs="Arial"/>
          <w:bCs/>
        </w:rPr>
        <w:t>.</w:t>
      </w:r>
    </w:p>
    <w:p w14:paraId="5F4C3EAA" w14:textId="66E15F83" w:rsidR="00DA3EDA" w:rsidRPr="00DA3EDA" w:rsidRDefault="00DA3EDA" w:rsidP="00DA3E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DA3EDA">
        <w:rPr>
          <w:rFonts w:ascii="Arial" w:hAnsi="Arial" w:cs="Arial"/>
          <w:bCs/>
        </w:rPr>
        <w:t>Complex preliminary issues such as whether the claimant is disabled (if this is not agreed by the parties)</w:t>
      </w:r>
      <w:r w:rsidR="00084448">
        <w:rPr>
          <w:rFonts w:ascii="Arial" w:hAnsi="Arial" w:cs="Arial"/>
          <w:bCs/>
        </w:rPr>
        <w:t>.</w:t>
      </w:r>
    </w:p>
    <w:p w14:paraId="0B0CEEE1" w14:textId="6F1A059F" w:rsidR="00DA3EDA" w:rsidRPr="00DA3EDA" w:rsidRDefault="00DA3EDA" w:rsidP="00DA3E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DA3EDA">
        <w:rPr>
          <w:rFonts w:ascii="Arial" w:hAnsi="Arial" w:cs="Arial"/>
          <w:bCs/>
        </w:rPr>
        <w:t>The number of witnesses and documents</w:t>
      </w:r>
      <w:r w:rsidR="00084448">
        <w:rPr>
          <w:rFonts w:ascii="Arial" w:hAnsi="Arial" w:cs="Arial"/>
          <w:bCs/>
        </w:rPr>
        <w:t>.</w:t>
      </w:r>
    </w:p>
    <w:p w14:paraId="0A34EF87" w14:textId="54568737" w:rsidR="00DA3EDA" w:rsidRPr="00DA3EDA" w:rsidRDefault="00DA3EDA" w:rsidP="00DA3E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DA3EDA">
        <w:rPr>
          <w:rFonts w:ascii="Arial" w:hAnsi="Arial" w:cs="Arial"/>
          <w:bCs/>
        </w:rPr>
        <w:t>If it is an automatic unfair dismissal claim e.g. if you are dismissed after blowing the whistle on your employer</w:t>
      </w:r>
      <w:r w:rsidR="00084448">
        <w:rPr>
          <w:rFonts w:ascii="Arial" w:hAnsi="Arial" w:cs="Arial"/>
          <w:bCs/>
        </w:rPr>
        <w:t>.</w:t>
      </w:r>
    </w:p>
    <w:p w14:paraId="69F852AB" w14:textId="168E3CE6" w:rsidR="006E30FB" w:rsidRPr="00DA3EDA" w:rsidRDefault="00DA3EDA" w:rsidP="00DA3E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 w:rsidRPr="00DA3EDA">
        <w:rPr>
          <w:rFonts w:ascii="Arial" w:hAnsi="Arial" w:cs="Arial"/>
          <w:bCs/>
        </w:rPr>
        <w:t>Allegations of discrimination which are linked to the dismissal</w:t>
      </w:r>
      <w:r w:rsidR="00084448">
        <w:rPr>
          <w:rFonts w:ascii="Arial" w:hAnsi="Arial" w:cs="Arial"/>
          <w:bCs/>
        </w:rPr>
        <w:t>.</w:t>
      </w:r>
    </w:p>
    <w:p w14:paraId="5A7918D9" w14:textId="63BDD169" w:rsidR="005C420A" w:rsidRDefault="005C420A" w:rsidP="005C420A">
      <w:pPr>
        <w:spacing w:after="0" w:line="240" w:lineRule="auto"/>
        <w:jc w:val="both"/>
        <w:rPr>
          <w:rFonts w:ascii="Arial" w:hAnsi="Arial" w:cs="Arial"/>
          <w:b/>
        </w:rPr>
      </w:pPr>
    </w:p>
    <w:p w14:paraId="17E5CE3E" w14:textId="77777777" w:rsidR="00F30D3B" w:rsidRPr="00B0515F" w:rsidRDefault="00F30D3B" w:rsidP="00F30D3B">
      <w:pPr>
        <w:spacing w:after="0" w:line="240" w:lineRule="auto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We will be able to give you an idea of which case type you are likely to have once we receive details of your case from you.</w:t>
      </w:r>
    </w:p>
    <w:p w14:paraId="04179618" w14:textId="77777777" w:rsidR="00F30D3B" w:rsidRDefault="00F30D3B" w:rsidP="005C420A">
      <w:pPr>
        <w:spacing w:after="0" w:line="240" w:lineRule="auto"/>
        <w:jc w:val="both"/>
        <w:rPr>
          <w:rFonts w:ascii="Arial" w:hAnsi="Arial" w:cs="Arial"/>
          <w:b/>
        </w:rPr>
      </w:pPr>
    </w:p>
    <w:p w14:paraId="714A3A14" w14:textId="239C4B53" w:rsidR="006E30FB" w:rsidRDefault="006E30FB" w:rsidP="006E30FB">
      <w:pPr>
        <w:spacing w:after="0" w:line="240" w:lineRule="auto"/>
        <w:jc w:val="both"/>
        <w:rPr>
          <w:rFonts w:ascii="Arial" w:hAnsi="Arial" w:cs="Arial"/>
          <w:b/>
        </w:rPr>
      </w:pPr>
      <w:r w:rsidRPr="006E30FB">
        <w:rPr>
          <w:rFonts w:ascii="Arial" w:hAnsi="Arial" w:cs="Arial"/>
          <w:b/>
        </w:rPr>
        <w:t xml:space="preserve">Fees payable to </w:t>
      </w:r>
      <w:r w:rsidRPr="006E30FB">
        <w:rPr>
          <w:rFonts w:ascii="Arial" w:hAnsi="Arial" w:cs="Arial"/>
          <w:b/>
          <w:color w:val="FF0000"/>
        </w:rPr>
        <w:t xml:space="preserve">third parties </w:t>
      </w:r>
      <w:r w:rsidRPr="006E30FB">
        <w:rPr>
          <w:rFonts w:ascii="Arial" w:hAnsi="Arial" w:cs="Arial"/>
          <w:b/>
        </w:rPr>
        <w:t>(‘</w:t>
      </w:r>
      <w:r>
        <w:rPr>
          <w:rFonts w:ascii="Arial" w:hAnsi="Arial" w:cs="Arial"/>
          <w:b/>
        </w:rPr>
        <w:t>d</w:t>
      </w:r>
      <w:r w:rsidRPr="006E30FB">
        <w:rPr>
          <w:rFonts w:ascii="Arial" w:hAnsi="Arial" w:cs="Arial"/>
          <w:b/>
        </w:rPr>
        <w:t>isbursements’)</w:t>
      </w:r>
    </w:p>
    <w:p w14:paraId="060A2D52" w14:textId="27A4EFF4" w:rsidR="00084448" w:rsidRDefault="00084448" w:rsidP="006E30F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2699"/>
        <w:gridCol w:w="2976"/>
      </w:tblGrid>
      <w:tr w:rsidR="0082141C" w14:paraId="569140A1" w14:textId="77777777" w:rsidTr="00E117F9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D2F8773" w14:textId="77777777" w:rsidR="0082141C" w:rsidRPr="008E75F9" w:rsidRDefault="0082141C" w:rsidP="00E117F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E75F9">
              <w:rPr>
                <w:rFonts w:ascii="Arial" w:hAnsi="Arial" w:cs="Arial"/>
                <w:b/>
                <w:color w:val="FFFFFF" w:themeColor="background1"/>
              </w:rPr>
              <w:t>Disbursement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36C1FCC" w14:textId="77777777" w:rsidR="0082141C" w:rsidRPr="008E75F9" w:rsidRDefault="0082141C" w:rsidP="00E117F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E75F9">
              <w:rPr>
                <w:rFonts w:ascii="Arial" w:hAnsi="Arial" w:cs="Arial"/>
                <w:b/>
                <w:color w:val="FFFFFF" w:themeColor="background1"/>
              </w:rPr>
              <w:t>Fee</w:t>
            </w:r>
          </w:p>
        </w:tc>
        <w:tc>
          <w:tcPr>
            <w:tcW w:w="2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60C807E" w14:textId="77777777" w:rsidR="0082141C" w:rsidRPr="008E75F9" w:rsidRDefault="0082141C" w:rsidP="00E117F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E75F9">
              <w:rPr>
                <w:rFonts w:ascii="Arial" w:hAnsi="Arial" w:cs="Arial"/>
                <w:b/>
                <w:color w:val="FFFFFF" w:themeColor="background1"/>
              </w:rPr>
              <w:t>VAT</w:t>
            </w:r>
          </w:p>
          <w:p w14:paraId="08AA4223" w14:textId="77777777" w:rsidR="0082141C" w:rsidRPr="008E75F9" w:rsidRDefault="0082141C" w:rsidP="00E117F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E75F9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(charged at 20%)</w:t>
            </w: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6B7DC76" w14:textId="77777777" w:rsidR="0082141C" w:rsidRPr="008E75F9" w:rsidRDefault="0082141C" w:rsidP="00E117F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E75F9">
              <w:rPr>
                <w:rFonts w:ascii="Arial" w:hAnsi="Arial" w:cs="Arial"/>
                <w:b/>
                <w:color w:val="FFFFFF" w:themeColor="background1"/>
              </w:rPr>
              <w:t>TOTAL</w:t>
            </w:r>
          </w:p>
        </w:tc>
      </w:tr>
      <w:tr w:rsidR="0082141C" w14:paraId="0E232878" w14:textId="77777777" w:rsidTr="00E117F9">
        <w:tc>
          <w:tcPr>
            <w:tcW w:w="3397" w:type="dxa"/>
            <w:tcBorders>
              <w:top w:val="single" w:sz="4" w:space="0" w:color="FFFFFF" w:themeColor="background1"/>
            </w:tcBorders>
          </w:tcPr>
          <w:p w14:paraId="1D694F4F" w14:textId="77777777" w:rsidR="0082141C" w:rsidRPr="008E75F9" w:rsidRDefault="0082141C" w:rsidP="00E117F9">
            <w:pPr>
              <w:jc w:val="both"/>
              <w:rPr>
                <w:rFonts w:ascii="Arial" w:hAnsi="Arial" w:cs="Arial"/>
                <w:bCs/>
              </w:rPr>
            </w:pPr>
            <w:bookmarkStart w:id="1" w:name="_Hlk146546842"/>
            <w:r w:rsidRPr="008E75F9">
              <w:rPr>
                <w:rFonts w:ascii="Arial" w:hAnsi="Arial" w:cs="Arial"/>
                <w:bCs/>
              </w:rPr>
              <w:t>Tribunal fee</w:t>
            </w:r>
          </w:p>
        </w:tc>
        <w:tc>
          <w:tcPr>
            <w:tcW w:w="3402" w:type="dxa"/>
            <w:tcBorders>
              <w:top w:val="single" w:sz="4" w:space="0" w:color="FFFFFF" w:themeColor="background1"/>
            </w:tcBorders>
          </w:tcPr>
          <w:p w14:paraId="6C1455F9" w14:textId="77777777" w:rsidR="0082141C" w:rsidRPr="008E75F9" w:rsidRDefault="0082141C" w:rsidP="00E117F9">
            <w:pPr>
              <w:jc w:val="center"/>
              <w:rPr>
                <w:rFonts w:ascii="Arial" w:hAnsi="Arial" w:cs="Arial"/>
                <w:bCs/>
              </w:rPr>
            </w:pPr>
            <w:r w:rsidRPr="008E75F9">
              <w:rPr>
                <w:rFonts w:ascii="Arial" w:hAnsi="Arial" w:cs="Arial"/>
                <w:bCs/>
              </w:rPr>
              <w:t>£0</w:t>
            </w:r>
          </w:p>
        </w:tc>
        <w:tc>
          <w:tcPr>
            <w:tcW w:w="2699" w:type="dxa"/>
            <w:tcBorders>
              <w:top w:val="single" w:sz="4" w:space="0" w:color="FFFFFF" w:themeColor="background1"/>
            </w:tcBorders>
          </w:tcPr>
          <w:p w14:paraId="63332E36" w14:textId="77777777" w:rsidR="0082141C" w:rsidRPr="008E75F9" w:rsidRDefault="0082141C" w:rsidP="00E117F9">
            <w:pPr>
              <w:jc w:val="center"/>
              <w:rPr>
                <w:rFonts w:ascii="Arial" w:hAnsi="Arial" w:cs="Arial"/>
                <w:bCs/>
              </w:rPr>
            </w:pPr>
            <w:r w:rsidRPr="008E75F9">
              <w:rPr>
                <w:rFonts w:ascii="Arial" w:hAnsi="Arial" w:cs="Arial"/>
                <w:bCs/>
              </w:rPr>
              <w:t>£0</w:t>
            </w:r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</w:tcPr>
          <w:p w14:paraId="3D80B817" w14:textId="77777777" w:rsidR="0082141C" w:rsidRPr="008E75F9" w:rsidRDefault="0082141C" w:rsidP="00E117F9">
            <w:pPr>
              <w:jc w:val="center"/>
              <w:rPr>
                <w:rFonts w:ascii="Arial" w:hAnsi="Arial" w:cs="Arial"/>
                <w:bCs/>
              </w:rPr>
            </w:pPr>
            <w:r w:rsidRPr="008E75F9">
              <w:rPr>
                <w:rFonts w:ascii="Arial" w:hAnsi="Arial" w:cs="Arial"/>
                <w:bCs/>
              </w:rPr>
              <w:t>£0</w:t>
            </w:r>
          </w:p>
        </w:tc>
      </w:tr>
      <w:tr w:rsidR="0082141C" w14:paraId="09C6E8E5" w14:textId="77777777" w:rsidTr="00E117F9">
        <w:tc>
          <w:tcPr>
            <w:tcW w:w="3397" w:type="dxa"/>
            <w:tcBorders>
              <w:top w:val="single" w:sz="4" w:space="0" w:color="FFFFFF" w:themeColor="background1"/>
            </w:tcBorders>
          </w:tcPr>
          <w:p w14:paraId="75D43C76" w14:textId="77777777" w:rsidR="0082141C" w:rsidRPr="008E75F9" w:rsidRDefault="0082141C" w:rsidP="00E117F9">
            <w:pPr>
              <w:jc w:val="both"/>
              <w:rPr>
                <w:rFonts w:ascii="Arial" w:hAnsi="Arial" w:cs="Arial"/>
                <w:bCs/>
              </w:rPr>
            </w:pPr>
            <w:r w:rsidRPr="008E75F9">
              <w:rPr>
                <w:rFonts w:ascii="Arial" w:hAnsi="Arial" w:cs="Arial"/>
                <w:bCs/>
              </w:rPr>
              <w:t>Counsel’s fees per day</w:t>
            </w:r>
          </w:p>
        </w:tc>
        <w:tc>
          <w:tcPr>
            <w:tcW w:w="3402" w:type="dxa"/>
            <w:tcBorders>
              <w:top w:val="single" w:sz="4" w:space="0" w:color="FFFFFF" w:themeColor="background1"/>
            </w:tcBorders>
          </w:tcPr>
          <w:p w14:paraId="6A2075E6" w14:textId="77777777" w:rsidR="0082141C" w:rsidRPr="008E75F9" w:rsidRDefault="0082141C" w:rsidP="00E117F9">
            <w:pPr>
              <w:jc w:val="center"/>
              <w:rPr>
                <w:rFonts w:ascii="Arial" w:hAnsi="Arial" w:cs="Arial"/>
                <w:bCs/>
              </w:rPr>
            </w:pPr>
            <w:r w:rsidRPr="008E75F9">
              <w:rPr>
                <w:rFonts w:ascii="Arial" w:hAnsi="Arial" w:cs="Arial"/>
                <w:bCs/>
              </w:rPr>
              <w:t>£750 - £1,500</w:t>
            </w:r>
          </w:p>
        </w:tc>
        <w:tc>
          <w:tcPr>
            <w:tcW w:w="2699" w:type="dxa"/>
            <w:tcBorders>
              <w:top w:val="single" w:sz="4" w:space="0" w:color="FFFFFF" w:themeColor="background1"/>
            </w:tcBorders>
          </w:tcPr>
          <w:p w14:paraId="7A57DC48" w14:textId="77777777" w:rsidR="0082141C" w:rsidRPr="008E75F9" w:rsidRDefault="0082141C" w:rsidP="00E117F9">
            <w:pPr>
              <w:jc w:val="center"/>
              <w:rPr>
                <w:rFonts w:ascii="Arial" w:hAnsi="Arial" w:cs="Arial"/>
                <w:bCs/>
              </w:rPr>
            </w:pPr>
            <w:r w:rsidRPr="008E75F9">
              <w:rPr>
                <w:rFonts w:ascii="Arial" w:hAnsi="Arial" w:cs="Arial"/>
                <w:bCs/>
              </w:rPr>
              <w:t>£150 - £300</w:t>
            </w:r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</w:tcPr>
          <w:p w14:paraId="17AAAD4C" w14:textId="77777777" w:rsidR="0082141C" w:rsidRPr="008E75F9" w:rsidRDefault="0082141C" w:rsidP="00E117F9">
            <w:pPr>
              <w:jc w:val="center"/>
              <w:rPr>
                <w:rFonts w:ascii="Arial" w:hAnsi="Arial" w:cs="Arial"/>
                <w:bCs/>
              </w:rPr>
            </w:pPr>
            <w:r w:rsidRPr="008E75F9">
              <w:rPr>
                <w:rFonts w:ascii="Arial" w:hAnsi="Arial" w:cs="Arial"/>
                <w:bCs/>
              </w:rPr>
              <w:t>£900 - £1,800</w:t>
            </w:r>
          </w:p>
        </w:tc>
      </w:tr>
      <w:tr w:rsidR="0082141C" w14:paraId="21734A5B" w14:textId="77777777" w:rsidTr="00E117F9">
        <w:tc>
          <w:tcPr>
            <w:tcW w:w="3397" w:type="dxa"/>
            <w:tcBorders>
              <w:top w:val="single" w:sz="4" w:space="0" w:color="FFFFFF" w:themeColor="background1"/>
            </w:tcBorders>
          </w:tcPr>
          <w:p w14:paraId="2EE15A15" w14:textId="77777777" w:rsidR="0082141C" w:rsidRPr="008E75F9" w:rsidRDefault="0082141C" w:rsidP="00E117F9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tcBorders>
              <w:top w:val="single" w:sz="4" w:space="0" w:color="FFFFFF" w:themeColor="background1"/>
            </w:tcBorders>
          </w:tcPr>
          <w:p w14:paraId="164996A5" w14:textId="77777777" w:rsidR="0082141C" w:rsidRPr="008E75F9" w:rsidRDefault="0082141C" w:rsidP="00E11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9" w:type="dxa"/>
            <w:tcBorders>
              <w:top w:val="single" w:sz="4" w:space="0" w:color="FFFFFF" w:themeColor="background1"/>
            </w:tcBorders>
          </w:tcPr>
          <w:p w14:paraId="20250891" w14:textId="77777777" w:rsidR="0082141C" w:rsidRPr="008E75F9" w:rsidRDefault="0082141C" w:rsidP="00E117F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</w:tcBorders>
          </w:tcPr>
          <w:p w14:paraId="47C6673C" w14:textId="77777777" w:rsidR="0082141C" w:rsidRPr="008E75F9" w:rsidRDefault="0082141C" w:rsidP="00E117F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2141C" w14:paraId="67D3F1DA" w14:textId="77777777" w:rsidTr="00E117F9">
        <w:tc>
          <w:tcPr>
            <w:tcW w:w="6799" w:type="dxa"/>
            <w:gridSpan w:val="2"/>
          </w:tcPr>
          <w:p w14:paraId="5EF84B91" w14:textId="77777777" w:rsidR="0082141C" w:rsidRPr="008E75F9" w:rsidRDefault="0082141C" w:rsidP="00E117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14:paraId="7677D097" w14:textId="77777777" w:rsidR="0082141C" w:rsidRPr="008E75F9" w:rsidRDefault="0082141C" w:rsidP="00E117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5F9">
              <w:rPr>
                <w:rFonts w:ascii="Arial" w:hAnsi="Arial" w:cs="Arial"/>
                <w:b/>
                <w:sz w:val="24"/>
                <w:szCs w:val="24"/>
              </w:rPr>
              <w:t>SUBTOTAL</w:t>
            </w:r>
          </w:p>
        </w:tc>
        <w:tc>
          <w:tcPr>
            <w:tcW w:w="2976" w:type="dxa"/>
          </w:tcPr>
          <w:p w14:paraId="6D8A25AB" w14:textId="77777777" w:rsidR="0082141C" w:rsidRPr="008E75F9" w:rsidRDefault="0082141C" w:rsidP="00E117F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75F9">
              <w:rPr>
                <w:rFonts w:ascii="Arial" w:hAnsi="Arial" w:cs="Arial"/>
                <w:b/>
                <w:sz w:val="24"/>
                <w:szCs w:val="24"/>
              </w:rPr>
              <w:t>£900-1,800</w:t>
            </w:r>
          </w:p>
        </w:tc>
      </w:tr>
      <w:bookmarkEnd w:id="1"/>
    </w:tbl>
    <w:p w14:paraId="5B3A0DC8" w14:textId="77777777" w:rsidR="0082141C" w:rsidRDefault="0082141C" w:rsidP="00E23DD9">
      <w:pPr>
        <w:spacing w:after="0" w:line="240" w:lineRule="auto"/>
        <w:jc w:val="both"/>
        <w:rPr>
          <w:rFonts w:ascii="Arial" w:hAnsi="Arial" w:cs="Arial"/>
        </w:rPr>
      </w:pPr>
    </w:p>
    <w:p w14:paraId="06FB1248" w14:textId="48ED85FD" w:rsidR="00E23DD9" w:rsidRPr="00C000DD" w:rsidRDefault="00E23DD9" w:rsidP="00E23DD9">
      <w:pPr>
        <w:spacing w:after="0" w:line="240" w:lineRule="auto"/>
        <w:jc w:val="both"/>
        <w:rPr>
          <w:rFonts w:ascii="Arial" w:hAnsi="Arial" w:cs="Arial"/>
        </w:rPr>
      </w:pPr>
      <w:r w:rsidRPr="00C000DD">
        <w:rPr>
          <w:rFonts w:ascii="Arial" w:hAnsi="Arial" w:cs="Arial"/>
        </w:rPr>
        <w:t xml:space="preserve">At present there are no fees payable to the Employment Tribunals for commencing claims although we understand this is under review by the </w:t>
      </w:r>
      <w:r>
        <w:rPr>
          <w:rFonts w:ascii="Arial" w:hAnsi="Arial" w:cs="Arial"/>
        </w:rPr>
        <w:t>G</w:t>
      </w:r>
      <w:r w:rsidRPr="00C000DD">
        <w:rPr>
          <w:rFonts w:ascii="Arial" w:hAnsi="Arial" w:cs="Arial"/>
        </w:rPr>
        <w:t>overnment</w:t>
      </w:r>
      <w:r>
        <w:rPr>
          <w:rFonts w:ascii="Arial" w:hAnsi="Arial" w:cs="Arial"/>
        </w:rPr>
        <w:t>.</w:t>
      </w:r>
    </w:p>
    <w:p w14:paraId="7D96384E" w14:textId="77777777" w:rsidR="00E23DD9" w:rsidRPr="006E30FB" w:rsidRDefault="00E23DD9" w:rsidP="006E30FB">
      <w:pPr>
        <w:spacing w:after="0" w:line="240" w:lineRule="auto"/>
        <w:jc w:val="both"/>
        <w:rPr>
          <w:rFonts w:ascii="Arial" w:hAnsi="Arial" w:cs="Arial"/>
          <w:b/>
        </w:rPr>
      </w:pPr>
    </w:p>
    <w:p w14:paraId="6682A0EF" w14:textId="100F9DBA" w:rsidR="006E30FB" w:rsidRPr="006E30FB" w:rsidRDefault="006E30FB" w:rsidP="005C420A">
      <w:pPr>
        <w:spacing w:after="0" w:line="240" w:lineRule="auto"/>
        <w:jc w:val="both"/>
        <w:rPr>
          <w:rFonts w:ascii="Arial" w:hAnsi="Arial" w:cs="Arial"/>
          <w:b/>
        </w:rPr>
      </w:pPr>
      <w:r w:rsidRPr="006E30FB">
        <w:rPr>
          <w:rFonts w:ascii="Arial" w:hAnsi="Arial" w:cs="Arial"/>
          <w:b/>
        </w:rPr>
        <w:tab/>
      </w:r>
    </w:p>
    <w:p w14:paraId="0C8A93D6" w14:textId="77777777" w:rsidR="0082141C" w:rsidRDefault="0082141C" w:rsidP="005C42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6B9D1AE" w14:textId="77777777" w:rsidR="0082141C" w:rsidRDefault="0082141C" w:rsidP="005C42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C162B77" w14:textId="77777777" w:rsidR="0082141C" w:rsidRDefault="0082141C" w:rsidP="005C42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B237E4C" w14:textId="51AE0582" w:rsidR="002349B8" w:rsidRPr="006E30FB" w:rsidRDefault="002349B8" w:rsidP="005C42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0FB">
        <w:rPr>
          <w:rFonts w:ascii="Arial" w:hAnsi="Arial" w:cs="Arial"/>
          <w:b/>
          <w:sz w:val="24"/>
          <w:szCs w:val="24"/>
        </w:rPr>
        <w:lastRenderedPageBreak/>
        <w:t xml:space="preserve">Work included and key stages </w:t>
      </w:r>
      <w:r w:rsidR="000C40B6" w:rsidRPr="006E30FB">
        <w:rPr>
          <w:rFonts w:ascii="Arial" w:hAnsi="Arial" w:cs="Arial"/>
          <w:b/>
          <w:sz w:val="24"/>
          <w:szCs w:val="24"/>
        </w:rPr>
        <w:tab/>
      </w:r>
      <w:r w:rsidR="000C40B6" w:rsidRPr="006E30FB">
        <w:rPr>
          <w:rFonts w:ascii="Arial" w:hAnsi="Arial" w:cs="Arial"/>
          <w:b/>
          <w:sz w:val="24"/>
          <w:szCs w:val="24"/>
        </w:rPr>
        <w:tab/>
      </w:r>
    </w:p>
    <w:p w14:paraId="65F13137" w14:textId="1C416BA5" w:rsidR="002349B8" w:rsidRPr="006E30FB" w:rsidRDefault="002349B8" w:rsidP="005C42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4CB5C01" w14:textId="102D6581" w:rsidR="002349B8" w:rsidRPr="006E30FB" w:rsidRDefault="002349B8" w:rsidP="005C420A">
      <w:pPr>
        <w:spacing w:after="0" w:line="240" w:lineRule="auto"/>
        <w:jc w:val="both"/>
        <w:rPr>
          <w:rFonts w:ascii="Arial" w:hAnsi="Arial" w:cs="Arial"/>
        </w:rPr>
      </w:pPr>
      <w:r w:rsidRPr="006E30FB">
        <w:rPr>
          <w:rFonts w:ascii="Arial" w:hAnsi="Arial" w:cs="Arial"/>
        </w:rPr>
        <w:t>The precise work and stages involved in</w:t>
      </w:r>
      <w:r w:rsidR="000C40B6" w:rsidRPr="006E30FB">
        <w:rPr>
          <w:rFonts w:ascii="Arial" w:hAnsi="Arial" w:cs="Arial"/>
        </w:rPr>
        <w:t xml:space="preserve"> </w:t>
      </w:r>
      <w:r w:rsidR="00726661" w:rsidRPr="006E30FB">
        <w:rPr>
          <w:rFonts w:ascii="Arial" w:hAnsi="Arial" w:cs="Arial"/>
        </w:rPr>
        <w:t>defending</w:t>
      </w:r>
      <w:r w:rsidR="000C40B6" w:rsidRPr="006E30FB">
        <w:rPr>
          <w:rFonts w:ascii="Arial" w:hAnsi="Arial" w:cs="Arial"/>
        </w:rPr>
        <w:t xml:space="preserve"> an unfair or wrongful dismissal claim</w:t>
      </w:r>
      <w:r w:rsidRPr="006E30FB">
        <w:rPr>
          <w:rFonts w:ascii="Arial" w:hAnsi="Arial" w:cs="Arial"/>
        </w:rPr>
        <w:t xml:space="preserve"> </w:t>
      </w:r>
      <w:r w:rsidR="009D4CED" w:rsidRPr="006E30FB">
        <w:rPr>
          <w:rFonts w:ascii="Arial" w:hAnsi="Arial" w:cs="Arial"/>
        </w:rPr>
        <w:t xml:space="preserve">vary according to the circumstances. However, we have set out the key stages involved in a typical </w:t>
      </w:r>
      <w:r w:rsidR="000C40B6" w:rsidRPr="006E30FB">
        <w:rPr>
          <w:rFonts w:ascii="Arial" w:hAnsi="Arial" w:cs="Arial"/>
        </w:rPr>
        <w:t>claim</w:t>
      </w:r>
      <w:r w:rsidR="009D4CED" w:rsidRPr="006E30FB">
        <w:rPr>
          <w:rFonts w:ascii="Arial" w:hAnsi="Arial" w:cs="Arial"/>
        </w:rPr>
        <w:t>:</w:t>
      </w:r>
    </w:p>
    <w:p w14:paraId="5538BC16" w14:textId="77777777" w:rsidR="009D4CED" w:rsidRPr="006E30FB" w:rsidRDefault="009D4CED" w:rsidP="005C420A">
      <w:pPr>
        <w:spacing w:after="0" w:line="240" w:lineRule="auto"/>
        <w:jc w:val="both"/>
        <w:rPr>
          <w:rFonts w:ascii="Arial" w:hAnsi="Arial" w:cs="Arial"/>
        </w:rPr>
      </w:pPr>
    </w:p>
    <w:p w14:paraId="3F732192" w14:textId="7ECA19A3" w:rsidR="002349B8" w:rsidRPr="006E30FB" w:rsidRDefault="002349B8" w:rsidP="002349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E30FB">
        <w:rPr>
          <w:rFonts w:ascii="Arial" w:hAnsi="Arial" w:cs="Arial"/>
        </w:rPr>
        <w:t>Tak</w:t>
      </w:r>
      <w:r w:rsidR="000C40B6" w:rsidRPr="006E30FB">
        <w:rPr>
          <w:rFonts w:ascii="Arial" w:hAnsi="Arial" w:cs="Arial"/>
        </w:rPr>
        <w:t>ing</w:t>
      </w:r>
      <w:r w:rsidRPr="006E30FB">
        <w:rPr>
          <w:rFonts w:ascii="Arial" w:hAnsi="Arial" w:cs="Arial"/>
        </w:rPr>
        <w:t xml:space="preserve"> your </w:t>
      </w:r>
      <w:r w:rsidR="000C40B6" w:rsidRPr="006E30FB">
        <w:rPr>
          <w:rFonts w:ascii="Arial" w:hAnsi="Arial" w:cs="Arial"/>
        </w:rPr>
        <w:t>initial instructions, reviewing the papers and advising you on merits and likely compensation.</w:t>
      </w:r>
    </w:p>
    <w:p w14:paraId="2A2E20AD" w14:textId="0B34862F" w:rsidR="000C40B6" w:rsidRPr="006E30FB" w:rsidRDefault="000C40B6" w:rsidP="002349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E30FB">
        <w:rPr>
          <w:rFonts w:ascii="Arial" w:hAnsi="Arial" w:cs="Arial"/>
        </w:rPr>
        <w:t>Entering into pre-claim conciliation where this is mandatory to explore whether a settlement can be reached.</w:t>
      </w:r>
    </w:p>
    <w:p w14:paraId="790C6AD3" w14:textId="5BD6E0AA" w:rsidR="000C40B6" w:rsidRPr="006E30FB" w:rsidRDefault="000C40B6" w:rsidP="002349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E30FB">
        <w:rPr>
          <w:rFonts w:ascii="Arial" w:hAnsi="Arial" w:cs="Arial"/>
        </w:rPr>
        <w:t xml:space="preserve">Preparing your </w:t>
      </w:r>
      <w:r w:rsidR="00726661" w:rsidRPr="006E30FB">
        <w:rPr>
          <w:rFonts w:ascii="Arial" w:hAnsi="Arial" w:cs="Arial"/>
        </w:rPr>
        <w:t>response</w:t>
      </w:r>
      <w:r w:rsidRPr="006E30FB">
        <w:rPr>
          <w:rFonts w:ascii="Arial" w:hAnsi="Arial" w:cs="Arial"/>
        </w:rPr>
        <w:t>.</w:t>
      </w:r>
    </w:p>
    <w:p w14:paraId="6D086C65" w14:textId="0CA69EA5" w:rsidR="000C40B6" w:rsidRPr="006E30FB" w:rsidRDefault="000C40B6" w:rsidP="002349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E30FB">
        <w:rPr>
          <w:rFonts w:ascii="Arial" w:hAnsi="Arial" w:cs="Arial"/>
        </w:rPr>
        <w:t xml:space="preserve">Reviewing and advising on </w:t>
      </w:r>
      <w:r w:rsidR="00726661" w:rsidRPr="006E30FB">
        <w:rPr>
          <w:rFonts w:ascii="Arial" w:hAnsi="Arial" w:cs="Arial"/>
        </w:rPr>
        <w:t>the claim</w:t>
      </w:r>
      <w:r w:rsidRPr="006E30FB">
        <w:rPr>
          <w:rFonts w:ascii="Arial" w:hAnsi="Arial" w:cs="Arial"/>
        </w:rPr>
        <w:t xml:space="preserve"> from </w:t>
      </w:r>
      <w:r w:rsidR="004B48C2" w:rsidRPr="006E30FB">
        <w:rPr>
          <w:rFonts w:ascii="Arial" w:hAnsi="Arial" w:cs="Arial"/>
        </w:rPr>
        <w:t xml:space="preserve">the </w:t>
      </w:r>
      <w:r w:rsidRPr="006E30FB">
        <w:rPr>
          <w:rFonts w:ascii="Arial" w:hAnsi="Arial" w:cs="Arial"/>
        </w:rPr>
        <w:t>other party.</w:t>
      </w:r>
    </w:p>
    <w:p w14:paraId="54207F40" w14:textId="1686123C" w:rsidR="000C40B6" w:rsidRPr="006E30FB" w:rsidRDefault="000C40B6" w:rsidP="002349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E30FB">
        <w:rPr>
          <w:rFonts w:ascii="Arial" w:hAnsi="Arial" w:cs="Arial"/>
        </w:rPr>
        <w:t>Exploring settlement and negotiating settlement throughout the process.</w:t>
      </w:r>
    </w:p>
    <w:p w14:paraId="30764311" w14:textId="4EA355A0" w:rsidR="000C40B6" w:rsidRPr="006E30FB" w:rsidRDefault="00726661" w:rsidP="002349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E30FB">
        <w:rPr>
          <w:rFonts w:ascii="Arial" w:hAnsi="Arial" w:cs="Arial"/>
        </w:rPr>
        <w:t>Considering</w:t>
      </w:r>
      <w:r w:rsidR="000C40B6" w:rsidRPr="006E30FB">
        <w:rPr>
          <w:rFonts w:ascii="Arial" w:hAnsi="Arial" w:cs="Arial"/>
        </w:rPr>
        <w:t xml:space="preserve"> a schedule of loss.</w:t>
      </w:r>
    </w:p>
    <w:p w14:paraId="5750BE04" w14:textId="2033137A" w:rsidR="000C40B6" w:rsidRPr="006E30FB" w:rsidRDefault="000C40B6" w:rsidP="002349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E30FB">
        <w:rPr>
          <w:rFonts w:ascii="Arial" w:hAnsi="Arial" w:cs="Arial"/>
        </w:rPr>
        <w:t>Preparing for a Preliminary Hearing.</w:t>
      </w:r>
    </w:p>
    <w:p w14:paraId="4FC6CC2B" w14:textId="433936D8" w:rsidR="000C40B6" w:rsidRPr="006E30FB" w:rsidRDefault="000C40B6" w:rsidP="002349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E30FB">
        <w:rPr>
          <w:rFonts w:ascii="Arial" w:hAnsi="Arial" w:cs="Arial"/>
        </w:rPr>
        <w:t>Exchanging documents with the other party and agreeing a bundle of documents.</w:t>
      </w:r>
    </w:p>
    <w:p w14:paraId="04F9C29B" w14:textId="480A8C1E" w:rsidR="000C40B6" w:rsidRPr="006E30FB" w:rsidRDefault="000C40B6" w:rsidP="002349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E30FB">
        <w:rPr>
          <w:rFonts w:ascii="Arial" w:hAnsi="Arial" w:cs="Arial"/>
        </w:rPr>
        <w:t>Taking witness statements, drafting statements and agreeing their content with witnesses.</w:t>
      </w:r>
    </w:p>
    <w:p w14:paraId="57AE32B7" w14:textId="2194E45E" w:rsidR="000C40B6" w:rsidRPr="006E30FB" w:rsidRDefault="000C40B6" w:rsidP="002349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E30FB">
        <w:rPr>
          <w:rFonts w:ascii="Arial" w:hAnsi="Arial" w:cs="Arial"/>
        </w:rPr>
        <w:t>Preparing bundle of documents.</w:t>
      </w:r>
    </w:p>
    <w:p w14:paraId="6809A4E4" w14:textId="435335D2" w:rsidR="000C40B6" w:rsidRPr="006E30FB" w:rsidRDefault="000C40B6" w:rsidP="002349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E30FB">
        <w:rPr>
          <w:rFonts w:ascii="Arial" w:hAnsi="Arial" w:cs="Arial"/>
        </w:rPr>
        <w:t>Reviewing and advising on the other party’s witness statements.</w:t>
      </w:r>
    </w:p>
    <w:p w14:paraId="6A44A39C" w14:textId="641F0295" w:rsidR="000C40B6" w:rsidRPr="006E30FB" w:rsidRDefault="000C40B6" w:rsidP="002349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E30FB">
        <w:rPr>
          <w:rFonts w:ascii="Arial" w:hAnsi="Arial" w:cs="Arial"/>
        </w:rPr>
        <w:t>Agreeing a list of issues, a chronology and/or cast list.</w:t>
      </w:r>
    </w:p>
    <w:p w14:paraId="14B2EFC3" w14:textId="151916E5" w:rsidR="000C40B6" w:rsidRPr="006E30FB" w:rsidRDefault="000C40B6" w:rsidP="002349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E30FB">
        <w:rPr>
          <w:rFonts w:ascii="Arial" w:hAnsi="Arial" w:cs="Arial"/>
        </w:rPr>
        <w:t xml:space="preserve">Preparation and attendance at Final Hearing, including instructions to Counsel. </w:t>
      </w:r>
    </w:p>
    <w:p w14:paraId="7006F7F9" w14:textId="27A3912F" w:rsidR="009D4CED" w:rsidRDefault="009D4CED" w:rsidP="000C40B6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6E45533" w14:textId="2AB18633" w:rsidR="009D4CED" w:rsidRPr="006E30FB" w:rsidRDefault="009D4CED" w:rsidP="009D4C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0FB">
        <w:rPr>
          <w:rFonts w:ascii="Arial" w:hAnsi="Arial" w:cs="Arial"/>
          <w:b/>
          <w:sz w:val="24"/>
          <w:szCs w:val="24"/>
        </w:rPr>
        <w:t xml:space="preserve">Services excluded </w:t>
      </w:r>
    </w:p>
    <w:p w14:paraId="42F25205" w14:textId="1F7048F3" w:rsidR="009D4CED" w:rsidRPr="006E30FB" w:rsidRDefault="009D4CED" w:rsidP="009D4C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AB52F1" w14:textId="78AA2FFE" w:rsidR="009D4CED" w:rsidRPr="006E30FB" w:rsidRDefault="009D4CED" w:rsidP="009D4CED">
      <w:pPr>
        <w:spacing w:after="0" w:line="240" w:lineRule="auto"/>
        <w:jc w:val="both"/>
        <w:rPr>
          <w:rFonts w:ascii="Arial" w:hAnsi="Arial" w:cs="Arial"/>
        </w:rPr>
      </w:pPr>
      <w:r w:rsidRPr="006E30FB">
        <w:rPr>
          <w:rFonts w:ascii="Arial" w:hAnsi="Arial" w:cs="Arial"/>
        </w:rPr>
        <w:t>Our service</w:t>
      </w:r>
      <w:r w:rsidR="006E30FB">
        <w:rPr>
          <w:rFonts w:ascii="Arial" w:hAnsi="Arial" w:cs="Arial"/>
        </w:rPr>
        <w:t>s (within the scope of this costs information)</w:t>
      </w:r>
      <w:r w:rsidR="006E30FB" w:rsidRPr="009A53D1">
        <w:rPr>
          <w:rFonts w:ascii="Arial" w:hAnsi="Arial" w:cs="Arial"/>
        </w:rPr>
        <w:t xml:space="preserve"> </w:t>
      </w:r>
      <w:r w:rsidRPr="006E30FB">
        <w:rPr>
          <w:rFonts w:ascii="Arial" w:hAnsi="Arial" w:cs="Arial"/>
        </w:rPr>
        <w:t xml:space="preserve">will </w:t>
      </w:r>
      <w:r w:rsidRPr="006E30FB">
        <w:rPr>
          <w:rFonts w:ascii="Arial" w:hAnsi="Arial" w:cs="Arial"/>
          <w:b/>
        </w:rPr>
        <w:t>not</w:t>
      </w:r>
      <w:r w:rsidRPr="006E30FB">
        <w:rPr>
          <w:rFonts w:ascii="Arial" w:hAnsi="Arial" w:cs="Arial"/>
        </w:rPr>
        <w:t xml:space="preserve"> include any of the following:</w:t>
      </w:r>
    </w:p>
    <w:p w14:paraId="486EB330" w14:textId="558F9F85" w:rsidR="009D4CED" w:rsidRPr="006E30FB" w:rsidRDefault="009D4CED" w:rsidP="009D4CED">
      <w:pPr>
        <w:spacing w:after="0" w:line="240" w:lineRule="auto"/>
        <w:jc w:val="both"/>
        <w:rPr>
          <w:rFonts w:ascii="Arial" w:hAnsi="Arial" w:cs="Arial"/>
        </w:rPr>
      </w:pPr>
    </w:p>
    <w:p w14:paraId="7455A803" w14:textId="77777777" w:rsidR="000C40B6" w:rsidRPr="006E30FB" w:rsidRDefault="000C40B6" w:rsidP="000C40B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E30FB">
        <w:rPr>
          <w:rFonts w:ascii="Arial" w:hAnsi="Arial" w:cs="Arial"/>
        </w:rPr>
        <w:t>Advice or assistance in relation to any appeal.</w:t>
      </w:r>
    </w:p>
    <w:p w14:paraId="63904CA4" w14:textId="34002DAB" w:rsidR="009D4CED" w:rsidRDefault="009D4CED" w:rsidP="000C40B6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5E4BF7C" w14:textId="77777777" w:rsidR="006E30FB" w:rsidRPr="006E30FB" w:rsidRDefault="006E30FB" w:rsidP="000C40B6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75AC49" w14:textId="525C8473" w:rsidR="00A03BD0" w:rsidRPr="006E30FB" w:rsidRDefault="00A03BD0" w:rsidP="009D4C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0FB">
        <w:rPr>
          <w:rFonts w:ascii="Arial" w:hAnsi="Arial" w:cs="Arial"/>
          <w:b/>
          <w:sz w:val="24"/>
          <w:szCs w:val="24"/>
        </w:rPr>
        <w:t xml:space="preserve">Approximate/ average timescales </w:t>
      </w:r>
    </w:p>
    <w:p w14:paraId="42520319" w14:textId="5F4DAF52" w:rsidR="00A03BD0" w:rsidRPr="006E30FB" w:rsidRDefault="00A03BD0" w:rsidP="009D4C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00BD044" w14:textId="77777777" w:rsidR="00DD6750" w:rsidRDefault="00DD6750" w:rsidP="000C40B6">
      <w:pPr>
        <w:spacing w:after="0" w:line="240" w:lineRule="auto"/>
        <w:jc w:val="both"/>
        <w:rPr>
          <w:rFonts w:ascii="Arial" w:hAnsi="Arial" w:cs="Arial"/>
        </w:rPr>
      </w:pPr>
    </w:p>
    <w:p w14:paraId="426A9A72" w14:textId="77777777" w:rsidR="00DD6750" w:rsidRDefault="00DD6750" w:rsidP="000C40B6">
      <w:pPr>
        <w:spacing w:after="0" w:line="240" w:lineRule="auto"/>
        <w:jc w:val="both"/>
        <w:rPr>
          <w:rFonts w:ascii="Arial" w:hAnsi="Arial" w:cs="Arial"/>
        </w:rPr>
      </w:pPr>
    </w:p>
    <w:p w14:paraId="6E3FA9F0" w14:textId="2C85E3BE" w:rsidR="00A03BD0" w:rsidRPr="006E30FB" w:rsidRDefault="000C40B6" w:rsidP="000C40B6">
      <w:pPr>
        <w:spacing w:after="0" w:line="240" w:lineRule="auto"/>
        <w:jc w:val="both"/>
        <w:rPr>
          <w:rFonts w:ascii="Arial" w:hAnsi="Arial" w:cs="Arial"/>
        </w:rPr>
      </w:pPr>
      <w:r w:rsidRPr="006E30FB">
        <w:rPr>
          <w:rFonts w:ascii="Arial" w:hAnsi="Arial" w:cs="Arial"/>
        </w:rPr>
        <w:t xml:space="preserve">The time that it takes from your initial instructions </w:t>
      </w:r>
      <w:r w:rsidR="00BC5CCA" w:rsidRPr="006E30FB">
        <w:rPr>
          <w:rFonts w:ascii="Arial" w:hAnsi="Arial" w:cs="Arial"/>
        </w:rPr>
        <w:t xml:space="preserve">to the final resolution of your matter depends largely on the stage at which your case is </w:t>
      </w:r>
      <w:r w:rsidR="00DD6750" w:rsidRPr="006E30FB">
        <w:rPr>
          <w:rFonts w:ascii="Arial" w:hAnsi="Arial" w:cs="Arial"/>
        </w:rPr>
        <w:t>resolved</w:t>
      </w:r>
      <w:r w:rsidR="00DD6750">
        <w:rPr>
          <w:rFonts w:ascii="Arial" w:hAnsi="Arial" w:cs="Arial"/>
        </w:rPr>
        <w:t xml:space="preserve">, </w:t>
      </w:r>
      <w:r w:rsidR="00DD6750" w:rsidRPr="006E30FB">
        <w:rPr>
          <w:rFonts w:ascii="Arial" w:hAnsi="Arial" w:cs="Arial"/>
        </w:rPr>
        <w:t>we</w:t>
      </w:r>
      <w:r w:rsidR="00BC5CCA" w:rsidRPr="006E30FB">
        <w:rPr>
          <w:rFonts w:ascii="Arial" w:hAnsi="Arial" w:cs="Arial"/>
        </w:rPr>
        <w:t xml:space="preserve"> will of course be able to give you a more accurate timescale once we have more information and as your case progresses. </w:t>
      </w:r>
    </w:p>
    <w:p w14:paraId="001A4743" w14:textId="47B615AF" w:rsidR="00FA3783" w:rsidRDefault="00FA3783" w:rsidP="00FA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F6AC799" w14:textId="77777777" w:rsidR="006E30FB" w:rsidRPr="006E30FB" w:rsidRDefault="006E30FB" w:rsidP="00FA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FB0C6D" w14:textId="424C744F" w:rsidR="00FA3783" w:rsidRPr="006E30FB" w:rsidRDefault="00FA3783" w:rsidP="00FA3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0FB">
        <w:rPr>
          <w:rFonts w:ascii="Arial" w:hAnsi="Arial" w:cs="Arial"/>
          <w:b/>
          <w:sz w:val="24"/>
          <w:szCs w:val="24"/>
        </w:rPr>
        <w:t>Qualifications and experience of our team</w:t>
      </w:r>
      <w:r w:rsidRPr="006E30FB">
        <w:rPr>
          <w:rFonts w:ascii="Arial" w:hAnsi="Arial" w:cs="Arial"/>
          <w:b/>
          <w:sz w:val="24"/>
          <w:szCs w:val="24"/>
        </w:rPr>
        <w:tab/>
      </w:r>
    </w:p>
    <w:p w14:paraId="2821D6A8" w14:textId="7428D890" w:rsidR="00FA3783" w:rsidRPr="006E30FB" w:rsidRDefault="00FA3783" w:rsidP="00FE6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E090AF1" w14:textId="113C2EC2" w:rsidR="00FE6F13" w:rsidRPr="006E30FB" w:rsidRDefault="00FE6F13" w:rsidP="00FE6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30FB">
        <w:rPr>
          <w:rFonts w:ascii="Arial" w:hAnsi="Arial" w:cs="Arial"/>
        </w:rPr>
        <w:t xml:space="preserve">Our </w:t>
      </w:r>
      <w:r w:rsidR="00BC5CCA" w:rsidRPr="006E30FB">
        <w:rPr>
          <w:rFonts w:ascii="Arial" w:hAnsi="Arial" w:cs="Arial"/>
        </w:rPr>
        <w:t>employment</w:t>
      </w:r>
      <w:r w:rsidRPr="006E30FB">
        <w:rPr>
          <w:rFonts w:ascii="Arial" w:hAnsi="Arial" w:cs="Arial"/>
        </w:rPr>
        <w:t xml:space="preserve"> team includes:</w:t>
      </w:r>
    </w:p>
    <w:p w14:paraId="5E1F5A91" w14:textId="73E24AC8" w:rsidR="00FE6F13" w:rsidRPr="006E30FB" w:rsidRDefault="00FE6F13" w:rsidP="00FE6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1701"/>
        <w:gridCol w:w="6723"/>
      </w:tblGrid>
      <w:tr w:rsidR="00E54BDE" w:rsidRPr="009A53D1" w14:paraId="3F7B548B" w14:textId="77777777" w:rsidTr="0054479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E2A5C18" w14:textId="77777777" w:rsidR="00E54BDE" w:rsidRPr="0044223D" w:rsidRDefault="00E54BDE" w:rsidP="00544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4223D">
              <w:rPr>
                <w:rFonts w:ascii="Arial" w:hAnsi="Arial" w:cs="Arial"/>
                <w:b/>
                <w:color w:val="FFFFFF" w:themeColor="background1"/>
              </w:rPr>
              <w:t>Name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A1BED65" w14:textId="77777777" w:rsidR="00E54BDE" w:rsidRPr="0044223D" w:rsidRDefault="00E54BDE" w:rsidP="00544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4223D">
              <w:rPr>
                <w:rFonts w:ascii="Arial" w:hAnsi="Arial" w:cs="Arial"/>
                <w:b/>
                <w:color w:val="FFFFFF" w:themeColor="background1"/>
              </w:rPr>
              <w:t>Position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C6F0C04" w14:textId="77777777" w:rsidR="00E54BDE" w:rsidRPr="0044223D" w:rsidRDefault="00E54BDE" w:rsidP="00544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4223D">
              <w:rPr>
                <w:rFonts w:ascii="Arial" w:hAnsi="Arial" w:cs="Arial"/>
                <w:b/>
                <w:color w:val="FFFFFF" w:themeColor="background1"/>
              </w:rPr>
              <w:t>Hourly rate (£)</w:t>
            </w:r>
          </w:p>
        </w:tc>
        <w:tc>
          <w:tcPr>
            <w:tcW w:w="67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B2CC481" w14:textId="77777777" w:rsidR="00E54BDE" w:rsidRPr="0044223D" w:rsidRDefault="00E54BDE" w:rsidP="00544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4223D">
              <w:rPr>
                <w:rFonts w:ascii="Arial" w:hAnsi="Arial" w:cs="Arial"/>
                <w:b/>
                <w:color w:val="FFFFFF" w:themeColor="background1"/>
              </w:rPr>
              <w:t>Experience</w:t>
            </w:r>
          </w:p>
        </w:tc>
      </w:tr>
      <w:tr w:rsidR="00E54BDE" w:rsidRPr="009A53D1" w14:paraId="492D5665" w14:textId="77777777" w:rsidTr="00544796">
        <w:tc>
          <w:tcPr>
            <w:tcW w:w="2830" w:type="dxa"/>
            <w:tcBorders>
              <w:top w:val="single" w:sz="4" w:space="0" w:color="FFFFFF" w:themeColor="background1"/>
            </w:tcBorders>
          </w:tcPr>
          <w:p w14:paraId="79671D80" w14:textId="69D656C6" w:rsidR="00E54BDE" w:rsidRPr="009A53D1" w:rsidRDefault="00D31B7C" w:rsidP="0054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Wainwright</w:t>
            </w:r>
          </w:p>
        </w:tc>
        <w:tc>
          <w:tcPr>
            <w:tcW w:w="2694" w:type="dxa"/>
            <w:tcBorders>
              <w:top w:val="single" w:sz="4" w:space="0" w:color="FFFFFF" w:themeColor="background1"/>
            </w:tcBorders>
          </w:tcPr>
          <w:p w14:paraId="03E3C2DF" w14:textId="70D97DDD" w:rsidR="00E54BDE" w:rsidRPr="00DD6750" w:rsidRDefault="00D31B7C" w:rsidP="0054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6750">
              <w:rPr>
                <w:rFonts w:ascii="Arial" w:hAnsi="Arial" w:cs="Arial"/>
              </w:rPr>
              <w:t xml:space="preserve">Partner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</w:tcPr>
          <w:p w14:paraId="53B792CB" w14:textId="113E5CE1" w:rsidR="00E54BDE" w:rsidRPr="00DD6750" w:rsidRDefault="00DD6750" w:rsidP="0054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D6750">
              <w:rPr>
                <w:rFonts w:ascii="Arial" w:hAnsi="Arial" w:cs="Arial"/>
              </w:rPr>
              <w:t>250.00</w:t>
            </w:r>
          </w:p>
        </w:tc>
        <w:tc>
          <w:tcPr>
            <w:tcW w:w="6723" w:type="dxa"/>
            <w:tcBorders>
              <w:top w:val="single" w:sz="4" w:space="0" w:color="FFFFFF" w:themeColor="background1"/>
            </w:tcBorders>
          </w:tcPr>
          <w:p w14:paraId="4F715095" w14:textId="36BB70B1" w:rsidR="00E54BDE" w:rsidRPr="0044223D" w:rsidRDefault="00DD6750" w:rsidP="00544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DD6750">
              <w:rPr>
                <w:rFonts w:ascii="Arial" w:hAnsi="Arial" w:cs="Arial"/>
              </w:rPr>
              <w:t>30 years sector experience with extensive knowledge of all areas.</w:t>
            </w:r>
          </w:p>
        </w:tc>
      </w:tr>
    </w:tbl>
    <w:p w14:paraId="4B5BE041" w14:textId="77777777" w:rsidR="00FE6F13" w:rsidRPr="006E30FB" w:rsidRDefault="00FE6F13" w:rsidP="00FE6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61DE628" w14:textId="16B2E362" w:rsidR="00A03BD0" w:rsidRPr="006E30FB" w:rsidRDefault="00FE6F13" w:rsidP="00A03BD0">
      <w:pPr>
        <w:pStyle w:val="BodyText2"/>
        <w:rPr>
          <w:rFonts w:ascii="Arial" w:eastAsiaTheme="minorHAnsi" w:hAnsi="Arial" w:cs="Arial"/>
          <w:szCs w:val="22"/>
        </w:rPr>
      </w:pPr>
      <w:r w:rsidRPr="006E30FB">
        <w:rPr>
          <w:rFonts w:ascii="Arial" w:eastAsiaTheme="minorHAnsi" w:hAnsi="Arial" w:cs="Arial"/>
          <w:szCs w:val="22"/>
        </w:rPr>
        <w:t>Regardless of who works on your matter, they will be supervised</w:t>
      </w:r>
      <w:r w:rsidR="00DD6750">
        <w:rPr>
          <w:rFonts w:ascii="Arial" w:eastAsiaTheme="minorHAnsi" w:hAnsi="Arial" w:cs="Arial"/>
          <w:szCs w:val="22"/>
        </w:rPr>
        <w:t xml:space="preserve">. </w:t>
      </w:r>
    </w:p>
    <w:p w14:paraId="42F09C58" w14:textId="77777777" w:rsidR="009D4CED" w:rsidRPr="006E30FB" w:rsidRDefault="009D4CED" w:rsidP="009D4CED">
      <w:pPr>
        <w:spacing w:after="0" w:line="240" w:lineRule="auto"/>
        <w:jc w:val="both"/>
        <w:rPr>
          <w:rFonts w:ascii="Arial" w:hAnsi="Arial" w:cs="Arial"/>
        </w:rPr>
      </w:pPr>
    </w:p>
    <w:p w14:paraId="2FAAD877" w14:textId="77777777" w:rsidR="009D4CED" w:rsidRPr="006E30FB" w:rsidRDefault="009D4CED" w:rsidP="009D4CED">
      <w:pPr>
        <w:spacing w:after="0" w:line="240" w:lineRule="auto"/>
        <w:jc w:val="both"/>
        <w:rPr>
          <w:rFonts w:ascii="Arial" w:hAnsi="Arial" w:cs="Arial"/>
        </w:rPr>
      </w:pPr>
    </w:p>
    <w:p w14:paraId="543FD1EF" w14:textId="77777777" w:rsidR="009D4CED" w:rsidRPr="006E30FB" w:rsidRDefault="009D4CED" w:rsidP="009D4C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2AD0BB" w14:textId="0329F069" w:rsidR="002349B8" w:rsidRPr="006E30FB" w:rsidRDefault="002349B8" w:rsidP="002349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349B8" w:rsidRPr="006E30FB" w:rsidSect="005C420A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92565" w14:textId="77777777" w:rsidR="00225994" w:rsidRDefault="00225994" w:rsidP="004472BA">
      <w:pPr>
        <w:spacing w:after="0" w:line="240" w:lineRule="auto"/>
      </w:pPr>
      <w:r>
        <w:separator/>
      </w:r>
    </w:p>
  </w:endnote>
  <w:endnote w:type="continuationSeparator" w:id="0">
    <w:p w14:paraId="4248308C" w14:textId="77777777" w:rsidR="00225994" w:rsidRDefault="00225994" w:rsidP="0044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9616900"/>
      <w:docPartObj>
        <w:docPartGallery w:val="Page Numbers (Top of Page)"/>
        <w:docPartUnique/>
      </w:docPartObj>
    </w:sdtPr>
    <w:sdtEndPr/>
    <w:sdtContent>
      <w:p w14:paraId="4D225CDE" w14:textId="22809AAE" w:rsidR="006E30FB" w:rsidRDefault="006E30FB" w:rsidP="006E30FB">
        <w:pPr>
          <w:pStyle w:val="Footer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9A53D1">
          <w:rPr>
            <w:rFonts w:ascii="Arial" w:hAnsi="Arial" w:cs="Arial"/>
            <w:sz w:val="18"/>
            <w:szCs w:val="18"/>
          </w:rPr>
          <w:t xml:space="preserve">Page </w:t>
        </w:r>
        <w:r w:rsidRPr="009A53D1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9A53D1">
          <w:rPr>
            <w:rFonts w:ascii="Arial" w:hAnsi="Arial" w:cs="Arial"/>
            <w:b/>
            <w:bCs/>
            <w:sz w:val="18"/>
            <w:szCs w:val="18"/>
          </w:rPr>
          <w:instrText xml:space="preserve"> PAGE </w:instrText>
        </w:r>
        <w:r w:rsidRPr="009A53D1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sz w:val="18"/>
            <w:szCs w:val="18"/>
          </w:rPr>
          <w:t>2</w:t>
        </w:r>
        <w:r w:rsidRPr="009A53D1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9A53D1">
          <w:rPr>
            <w:rFonts w:ascii="Arial" w:hAnsi="Arial" w:cs="Arial"/>
            <w:sz w:val="18"/>
            <w:szCs w:val="18"/>
          </w:rPr>
          <w:t xml:space="preserve"> of </w:t>
        </w:r>
        <w:r w:rsidRPr="009A53D1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9A53D1">
          <w:rPr>
            <w:rFonts w:ascii="Arial" w:hAnsi="Arial" w:cs="Arial"/>
            <w:b/>
            <w:bCs/>
            <w:sz w:val="18"/>
            <w:szCs w:val="18"/>
          </w:rPr>
          <w:instrText xml:space="preserve"> NUMPAGES  </w:instrText>
        </w:r>
        <w:r w:rsidRPr="009A53D1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sz w:val="18"/>
            <w:szCs w:val="18"/>
          </w:rPr>
          <w:t>3</w:t>
        </w:r>
        <w:r w:rsidRPr="009A53D1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92E43" w14:textId="77777777" w:rsidR="00225994" w:rsidRDefault="00225994" w:rsidP="004472BA">
      <w:pPr>
        <w:spacing w:after="0" w:line="240" w:lineRule="auto"/>
      </w:pPr>
      <w:r>
        <w:separator/>
      </w:r>
    </w:p>
  </w:footnote>
  <w:footnote w:type="continuationSeparator" w:id="0">
    <w:p w14:paraId="19D58535" w14:textId="77777777" w:rsidR="00225994" w:rsidRDefault="00225994" w:rsidP="0044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0C2E7" w14:textId="583DF12F" w:rsidR="006E30FB" w:rsidRPr="00B54487" w:rsidRDefault="00B54487" w:rsidP="00B54487">
    <w:pPr>
      <w:pStyle w:val="Header"/>
      <w:jc w:val="center"/>
    </w:pPr>
    <w:r>
      <w:rPr>
        <w:noProof/>
      </w:rPr>
      <w:drawing>
        <wp:inline distT="0" distB="0" distL="0" distR="0" wp14:anchorId="5B5A74C2" wp14:editId="09519952">
          <wp:extent cx="2064060" cy="1502194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P Let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892" cy="1512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6694"/>
    <w:multiLevelType w:val="hybridMultilevel"/>
    <w:tmpl w:val="5C3CD14C"/>
    <w:lvl w:ilvl="0" w:tplc="0B3A2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24401"/>
    <w:multiLevelType w:val="hybridMultilevel"/>
    <w:tmpl w:val="C5943B30"/>
    <w:lvl w:ilvl="0" w:tplc="284C6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818"/>
    <w:multiLevelType w:val="hybridMultilevel"/>
    <w:tmpl w:val="75E8A218"/>
    <w:lvl w:ilvl="0" w:tplc="8506D3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93CC0"/>
    <w:multiLevelType w:val="hybridMultilevel"/>
    <w:tmpl w:val="B87E6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FD3ED8"/>
    <w:multiLevelType w:val="hybridMultilevel"/>
    <w:tmpl w:val="25161E52"/>
    <w:lvl w:ilvl="0" w:tplc="915AB8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B16D2"/>
    <w:multiLevelType w:val="hybridMultilevel"/>
    <w:tmpl w:val="35A8C1F6"/>
    <w:lvl w:ilvl="0" w:tplc="915AB8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41F36"/>
    <w:multiLevelType w:val="hybridMultilevel"/>
    <w:tmpl w:val="3CB0A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0A"/>
    <w:rsid w:val="00084448"/>
    <w:rsid w:val="000C40B6"/>
    <w:rsid w:val="00104C5C"/>
    <w:rsid w:val="00225994"/>
    <w:rsid w:val="002272BB"/>
    <w:rsid w:val="002349B8"/>
    <w:rsid w:val="004472BA"/>
    <w:rsid w:val="00480D9A"/>
    <w:rsid w:val="004B48C2"/>
    <w:rsid w:val="005A2169"/>
    <w:rsid w:val="005C420A"/>
    <w:rsid w:val="006E30FB"/>
    <w:rsid w:val="00726661"/>
    <w:rsid w:val="00787789"/>
    <w:rsid w:val="0082141C"/>
    <w:rsid w:val="00844043"/>
    <w:rsid w:val="008B1D7D"/>
    <w:rsid w:val="008B1DA5"/>
    <w:rsid w:val="009D4CED"/>
    <w:rsid w:val="00A03BD0"/>
    <w:rsid w:val="00A478C8"/>
    <w:rsid w:val="00B1451F"/>
    <w:rsid w:val="00B54487"/>
    <w:rsid w:val="00B837E4"/>
    <w:rsid w:val="00BC5CCA"/>
    <w:rsid w:val="00C10D1B"/>
    <w:rsid w:val="00C37E2F"/>
    <w:rsid w:val="00C443D8"/>
    <w:rsid w:val="00C511E8"/>
    <w:rsid w:val="00C8759D"/>
    <w:rsid w:val="00CE39E1"/>
    <w:rsid w:val="00D31B7C"/>
    <w:rsid w:val="00DA3EDA"/>
    <w:rsid w:val="00DD6750"/>
    <w:rsid w:val="00E03823"/>
    <w:rsid w:val="00E23DD9"/>
    <w:rsid w:val="00E54BDE"/>
    <w:rsid w:val="00EA5DA6"/>
    <w:rsid w:val="00EE1E17"/>
    <w:rsid w:val="00F30D3B"/>
    <w:rsid w:val="00F95B6B"/>
    <w:rsid w:val="00FA3783"/>
    <w:rsid w:val="00FB2A02"/>
    <w:rsid w:val="00FC7BCE"/>
    <w:rsid w:val="00FD51C9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AA59A5"/>
  <w15:chartTrackingRefBased/>
  <w15:docId w15:val="{0CB16CF3-188D-4A9A-959E-BF47A7FF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C511E8"/>
    <w:pPr>
      <w:tabs>
        <w:tab w:val="left" w:pos="284"/>
        <w:tab w:val="right" w:leader="dot" w:pos="8789"/>
      </w:tabs>
      <w:spacing w:before="180" w:after="100" w:line="360" w:lineRule="exact"/>
    </w:pPr>
    <w:rPr>
      <w:rFonts w:ascii="Arial Narrow" w:eastAsia="Times New Roman" w:hAnsi="Arial Narrow" w:cs="Times New Roman"/>
      <w:b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C511E8"/>
    <w:pPr>
      <w:tabs>
        <w:tab w:val="left" w:pos="851"/>
        <w:tab w:val="right" w:leader="dot" w:pos="8789"/>
      </w:tabs>
      <w:spacing w:before="180" w:after="100" w:line="360" w:lineRule="exact"/>
      <w:ind w:left="-709"/>
    </w:pPr>
    <w:rPr>
      <w:rFonts w:ascii="Arial Narrow" w:eastAsia="Times New Roman" w:hAnsi="Arial Narrow" w:cs="Times New Roman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C511E8"/>
    <w:pPr>
      <w:tabs>
        <w:tab w:val="left" w:pos="1843"/>
        <w:tab w:val="right" w:leader="dot" w:pos="8789"/>
      </w:tabs>
      <w:spacing w:before="180" w:after="100" w:line="360" w:lineRule="exact"/>
      <w:ind w:left="284"/>
    </w:pPr>
    <w:rPr>
      <w:rFonts w:ascii="Arial Narrow" w:eastAsia="Times New Roman" w:hAnsi="Arial Narrow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C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9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9B8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semiHidden/>
    <w:unhideWhenUsed/>
    <w:rsid w:val="00A03BD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03BD0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47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BA"/>
  </w:style>
  <w:style w:type="paragraph" w:styleId="Footer">
    <w:name w:val="footer"/>
    <w:basedOn w:val="Normal"/>
    <w:link w:val="FooterChar"/>
    <w:uiPriority w:val="99"/>
    <w:unhideWhenUsed/>
    <w:rsid w:val="00447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BA"/>
  </w:style>
  <w:style w:type="paragraph" w:styleId="BalloonText">
    <w:name w:val="Balloon Text"/>
    <w:basedOn w:val="Normal"/>
    <w:link w:val="BalloonTextChar"/>
    <w:uiPriority w:val="99"/>
    <w:semiHidden/>
    <w:unhideWhenUsed/>
    <w:rsid w:val="00B5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Blears</dc:creator>
  <cp:keywords/>
  <dc:description/>
  <cp:lastModifiedBy>Astley, Steven</cp:lastModifiedBy>
  <cp:revision>2</cp:revision>
  <cp:lastPrinted>2023-09-25T13:41:00Z</cp:lastPrinted>
  <dcterms:created xsi:type="dcterms:W3CDTF">2023-10-05T15:28:00Z</dcterms:created>
  <dcterms:modified xsi:type="dcterms:W3CDTF">2023-10-05T15:28:00Z</dcterms:modified>
</cp:coreProperties>
</file>